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48E9" w14:textId="176C1418" w:rsidR="00FB25E6" w:rsidRPr="00B606F5" w:rsidRDefault="00FB25E6" w:rsidP="00D14AD5">
      <w:pPr>
        <w:spacing w:after="0" w:line="240" w:lineRule="auto"/>
        <w:ind w:left="709" w:hanging="70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06F5">
        <w:rPr>
          <w:rFonts w:ascii="TH SarabunPSK" w:hAnsi="TH SarabunPSK" w:cs="TH SarabunPSK"/>
          <w:b/>
          <w:bCs/>
          <w:sz w:val="36"/>
          <w:szCs w:val="36"/>
          <w:cs/>
        </w:rPr>
        <w:t>แบบวิเคราะห์</w:t>
      </w:r>
      <w:r w:rsidRPr="00B606F5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ประเด็นความเสี่ยง</w:t>
      </w:r>
      <w:r w:rsidR="0044423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รายประเด็น </w:t>
      </w:r>
      <w:r w:rsidR="0044423C" w:rsidRPr="00B606F5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</w:t>
      </w:r>
      <w:r w:rsidR="0044423C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Pr="00B606F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57001CD7" w14:textId="2EBCEB77" w:rsidR="00094711" w:rsidRPr="00B606F5" w:rsidRDefault="00094711" w:rsidP="00BC4169">
      <w:pPr>
        <w:tabs>
          <w:tab w:val="center" w:pos="4513"/>
          <w:tab w:val="left" w:pos="7483"/>
        </w:tabs>
        <w:spacing w:after="0" w:line="240" w:lineRule="auto"/>
        <w:ind w:left="709" w:hanging="709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B606F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พ.ศ. </w:t>
      </w:r>
      <w:r w:rsidR="002C1452" w:rsidRPr="002C1452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>2569</w:t>
      </w:r>
    </w:p>
    <w:p w14:paraId="736C1B59" w14:textId="1D84D1DD" w:rsidR="00FB25E6" w:rsidRPr="00B606F5" w:rsidRDefault="00FB25E6" w:rsidP="00FB25E6">
      <w:pPr>
        <w:pStyle w:val="af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06F5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Pr="00B606F5">
        <w:rPr>
          <w:rFonts w:ascii="TH SarabunPSK" w:hAnsi="TH SarabunPSK" w:cs="TH SarabunPSK" w:hint="cs"/>
          <w:b/>
          <w:bCs/>
          <w:sz w:val="36"/>
          <w:szCs w:val="36"/>
          <w:cs/>
        </w:rPr>
        <w:t>/วิทยาลัย</w:t>
      </w:r>
      <w:r w:rsidR="0044423C">
        <w:rPr>
          <w:rFonts w:ascii="TH SarabunPSK" w:hAnsi="TH SarabunPSK" w:cs="TH SarabunPSK" w:hint="cs"/>
          <w:b/>
          <w:bCs/>
          <w:sz w:val="36"/>
          <w:szCs w:val="36"/>
          <w:cs/>
        </w:rPr>
        <w:t>/หน่วยงาน</w:t>
      </w:r>
      <w:r w:rsidRPr="00B606F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........................................... </w:t>
      </w:r>
      <w:r w:rsidRPr="00B606F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3038497" w14:textId="77777777" w:rsidR="00F55B89" w:rsidRDefault="00F55B89" w:rsidP="00FB25E6">
      <w:pPr>
        <w:spacing w:after="0" w:line="240" w:lineRule="auto"/>
        <w:ind w:left="709" w:hanging="70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625060" w14:textId="5F50411C" w:rsidR="00D14AD5" w:rsidRPr="003B6952" w:rsidRDefault="00D14AD5" w:rsidP="00D14AD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695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ประเด็นความเสี่ยง</w:t>
      </w:r>
      <w:r w:rsidRPr="003B695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B6952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 w:rsidRPr="003B69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849E1" w:rsidRPr="00E849E1">
        <w:rPr>
          <w:rFonts w:ascii="TH SarabunPSK" w:hAnsi="TH SarabunPSK" w:cs="TH SarabunPSK"/>
          <w:color w:val="EE0000"/>
          <w:sz w:val="32"/>
          <w:szCs w:val="32"/>
          <w:cs/>
        </w:rPr>
        <w:t>รายได้ของคณะไม่เป็นไปตามแผนงบประมาณที่กำหนด</w:t>
      </w:r>
    </w:p>
    <w:p w14:paraId="165B2619" w14:textId="1F33B9E1" w:rsidR="0067519B" w:rsidRDefault="00D14AD5" w:rsidP="00D14A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7E4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ประเภทความเสี่ยง</w:t>
      </w:r>
      <w:r w:rsidRPr="00C27E40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849E1" w:rsidRPr="000B1EB3">
        <w:rPr>
          <w:rFonts w:ascii="TH SarabunPSK" w:hAnsi="TH SarabunPSK" w:cs="TH SarabunPSK"/>
          <w:color w:val="EE0000"/>
          <w:sz w:val="32"/>
          <w:szCs w:val="32"/>
        </w:rPr>
        <w:sym w:font="Wingdings" w:char="F0FE"/>
      </w:r>
      <w:r w:rsidR="0067519B" w:rsidRPr="000B1EB3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="0067519B" w:rsidRPr="000B1EB3">
        <w:rPr>
          <w:rFonts w:ascii="TH SarabunPSK" w:hAnsi="TH SarabunPSK" w:cs="TH SarabunPSK"/>
          <w:color w:val="EE0000"/>
          <w:sz w:val="32"/>
          <w:szCs w:val="32"/>
          <w:cs/>
        </w:rPr>
        <w:t>ด้านกลยุทธ์ (</w:t>
      </w:r>
      <w:r w:rsidR="0067519B" w:rsidRPr="000B1EB3">
        <w:rPr>
          <w:rFonts w:ascii="TH SarabunPSK" w:hAnsi="TH SarabunPSK" w:cs="TH SarabunPSK"/>
          <w:color w:val="EE0000"/>
          <w:sz w:val="32"/>
          <w:szCs w:val="32"/>
        </w:rPr>
        <w:t xml:space="preserve">S) </w:t>
      </w:r>
      <w:r w:rsidR="00E849E1" w:rsidRPr="000B1EB3">
        <w:rPr>
          <w:rFonts w:ascii="TH SarabunPSK" w:hAnsi="TH SarabunPSK" w:cs="TH SarabunPSK"/>
          <w:color w:val="EE0000"/>
          <w:sz w:val="32"/>
          <w:szCs w:val="32"/>
        </w:rPr>
        <w:sym w:font="Wingdings" w:char="F0FE"/>
      </w:r>
      <w:r w:rsidR="0067519B" w:rsidRPr="000B1EB3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="0067519B" w:rsidRPr="000B1EB3">
        <w:rPr>
          <w:rFonts w:ascii="TH SarabunPSK" w:hAnsi="TH SarabunPSK" w:cs="TH SarabunPSK"/>
          <w:color w:val="EE0000"/>
          <w:sz w:val="32"/>
          <w:szCs w:val="32"/>
          <w:cs/>
        </w:rPr>
        <w:t>ด้านการเงิน (</w:t>
      </w:r>
      <w:r w:rsidR="0067519B" w:rsidRPr="000B1EB3">
        <w:rPr>
          <w:rFonts w:ascii="TH SarabunPSK" w:hAnsi="TH SarabunPSK" w:cs="TH SarabunPSK"/>
          <w:color w:val="EE0000"/>
          <w:sz w:val="32"/>
          <w:szCs w:val="32"/>
        </w:rPr>
        <w:t xml:space="preserve">F) </w:t>
      </w:r>
      <w:r w:rsidR="0067519B">
        <w:rPr>
          <w:rFonts w:ascii="TH SarabunPSK" w:hAnsi="TH SarabunPSK" w:cs="TH SarabunPSK"/>
          <w:sz w:val="32"/>
          <w:szCs w:val="32"/>
        </w:rPr>
        <w:sym w:font="Wingdings" w:char="F0A8"/>
      </w:r>
      <w:r w:rsidR="0067519B">
        <w:rPr>
          <w:rFonts w:ascii="TH SarabunPSK" w:hAnsi="TH SarabunPSK" w:cs="TH SarabunPSK"/>
          <w:sz w:val="32"/>
          <w:szCs w:val="32"/>
        </w:rPr>
        <w:t xml:space="preserve"> </w:t>
      </w:r>
      <w:r w:rsidR="0067519B" w:rsidRPr="0067519B">
        <w:rPr>
          <w:rFonts w:ascii="TH SarabunPSK" w:hAnsi="TH SarabunPSK" w:cs="TH SarabunPSK"/>
          <w:sz w:val="32"/>
          <w:szCs w:val="32"/>
          <w:cs/>
        </w:rPr>
        <w:t>ด้านการปฏิบัติงาน (</w:t>
      </w:r>
      <w:r w:rsidR="0067519B" w:rsidRPr="0067519B">
        <w:rPr>
          <w:rFonts w:ascii="TH SarabunPSK" w:hAnsi="TH SarabunPSK" w:cs="TH SarabunPSK"/>
          <w:sz w:val="32"/>
          <w:szCs w:val="32"/>
        </w:rPr>
        <w:t xml:space="preserve">O) </w:t>
      </w:r>
      <w:r w:rsidR="0067519B">
        <w:rPr>
          <w:rFonts w:ascii="TH SarabunPSK" w:hAnsi="TH SarabunPSK" w:cs="TH SarabunPSK"/>
          <w:sz w:val="32"/>
          <w:szCs w:val="32"/>
        </w:rPr>
        <w:sym w:font="Wingdings" w:char="F0A8"/>
      </w:r>
      <w:r w:rsidR="0067519B">
        <w:rPr>
          <w:rFonts w:ascii="TH SarabunPSK" w:hAnsi="TH SarabunPSK" w:cs="TH SarabunPSK"/>
          <w:sz w:val="32"/>
          <w:szCs w:val="32"/>
        </w:rPr>
        <w:t xml:space="preserve"> </w:t>
      </w:r>
      <w:r w:rsidR="0067519B" w:rsidRPr="0067519B">
        <w:rPr>
          <w:rFonts w:ascii="TH SarabunPSK" w:hAnsi="TH SarabunPSK" w:cs="TH SarabunPSK"/>
          <w:sz w:val="32"/>
          <w:szCs w:val="32"/>
          <w:cs/>
        </w:rPr>
        <w:t>ด้านการปฏิบัติตามกฎระเบียบ (</w:t>
      </w:r>
      <w:r w:rsidR="0067519B" w:rsidRPr="0067519B">
        <w:rPr>
          <w:rFonts w:ascii="TH SarabunPSK" w:hAnsi="TH SarabunPSK" w:cs="TH SarabunPSK"/>
          <w:sz w:val="32"/>
          <w:szCs w:val="32"/>
        </w:rPr>
        <w:t xml:space="preserve">C) </w:t>
      </w:r>
      <w:r w:rsidR="0067519B">
        <w:rPr>
          <w:rFonts w:ascii="TH SarabunPSK" w:hAnsi="TH SarabunPSK" w:cs="TH SarabunPSK"/>
          <w:sz w:val="32"/>
          <w:szCs w:val="32"/>
        </w:rPr>
        <w:sym w:font="Wingdings" w:char="F0A8"/>
      </w:r>
      <w:r w:rsidR="006751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519B" w:rsidRPr="0067519B">
        <w:rPr>
          <w:rFonts w:ascii="TH SarabunPSK" w:hAnsi="TH SarabunPSK" w:cs="TH SarabunPSK"/>
          <w:sz w:val="32"/>
          <w:szCs w:val="32"/>
          <w:cs/>
        </w:rPr>
        <w:t>ด้านเทคโนโลยีและความปลอดภัยไซเบอร์ (</w:t>
      </w:r>
      <w:r w:rsidR="0067519B" w:rsidRPr="0067519B">
        <w:rPr>
          <w:rFonts w:ascii="TH SarabunPSK" w:hAnsi="TH SarabunPSK" w:cs="TH SarabunPSK"/>
          <w:sz w:val="32"/>
          <w:szCs w:val="32"/>
        </w:rPr>
        <w:t xml:space="preserve">T) </w:t>
      </w:r>
      <w:r w:rsidR="0067519B">
        <w:rPr>
          <w:rFonts w:ascii="TH SarabunPSK" w:hAnsi="TH SarabunPSK" w:cs="TH SarabunPSK"/>
          <w:sz w:val="32"/>
          <w:szCs w:val="32"/>
        </w:rPr>
        <w:sym w:font="Wingdings" w:char="F0A8"/>
      </w:r>
      <w:r w:rsidR="006751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519B" w:rsidRPr="0067519B">
        <w:rPr>
          <w:rFonts w:ascii="TH SarabunPSK" w:hAnsi="TH SarabunPSK" w:cs="TH SarabunPSK"/>
          <w:sz w:val="32"/>
          <w:szCs w:val="32"/>
          <w:cs/>
        </w:rPr>
        <w:t>ด้านทุนมนุษย์ (</w:t>
      </w:r>
      <w:r w:rsidR="0067519B" w:rsidRPr="0067519B">
        <w:rPr>
          <w:rFonts w:ascii="TH SarabunPSK" w:hAnsi="TH SarabunPSK" w:cs="TH SarabunPSK"/>
          <w:sz w:val="32"/>
          <w:szCs w:val="32"/>
        </w:rPr>
        <w:t xml:space="preserve">H) </w:t>
      </w:r>
      <w:r w:rsidR="0067519B">
        <w:rPr>
          <w:rFonts w:ascii="TH SarabunPSK" w:hAnsi="TH SarabunPSK" w:cs="TH SarabunPSK"/>
          <w:sz w:val="32"/>
          <w:szCs w:val="32"/>
        </w:rPr>
        <w:sym w:font="Wingdings" w:char="F0A8"/>
      </w:r>
      <w:r w:rsidR="006751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519B" w:rsidRPr="0067519B">
        <w:rPr>
          <w:rFonts w:ascii="TH SarabunPSK" w:hAnsi="TH SarabunPSK" w:cs="TH SarabunPSK"/>
          <w:sz w:val="32"/>
          <w:szCs w:val="32"/>
          <w:cs/>
        </w:rPr>
        <w:t>ด้านสิ่งแวดล้อมและความยั่งยืน (</w:t>
      </w:r>
      <w:r w:rsidR="0067519B" w:rsidRPr="0067519B">
        <w:rPr>
          <w:rFonts w:ascii="TH SarabunPSK" w:hAnsi="TH SarabunPSK" w:cs="TH SarabunPSK"/>
          <w:sz w:val="32"/>
          <w:szCs w:val="32"/>
        </w:rPr>
        <w:t>E)</w:t>
      </w:r>
    </w:p>
    <w:p w14:paraId="7044C783" w14:textId="77777777" w:rsidR="0067519B" w:rsidRDefault="0067519B" w:rsidP="00D14AD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1F1D5B" w14:textId="4DA9C75E" w:rsidR="00716DF4" w:rsidRPr="003B47A9" w:rsidRDefault="00716DF4" w:rsidP="003B47A9">
      <w:pPr>
        <w:pStyle w:val="a9"/>
        <w:numPr>
          <w:ilvl w:val="0"/>
          <w:numId w:val="146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47A9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การวิเคราะห์แนวทางการปรับปรุงกระบวนการทำงานอย่างต่อเนื่อง จากผลการประเมินความเสี่ยงคงเหลือของประเด็นความเสี่ยงเดิม</w:t>
      </w:r>
    </w:p>
    <w:p w14:paraId="664B0774" w14:textId="58EC8AEF" w:rsidR="00BA60FA" w:rsidRPr="00AD3FD5" w:rsidRDefault="00BA60FA" w:rsidP="00BA60F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จากการกำกับติดตามและประเมินผลการบริหารความเสี่ยงของคณะในช่วง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3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ปีงบประมาณที่ผ่านมา (พ.ศ.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 xml:space="preserve">2566–2568) 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>สำหรับประเด็นความเสี่ยง รายได้ของคณะไม่เป็นไปตามแผนงบประมาณที่กำหนด ซึ่งเป็นความเสี่ยงด้านกลยุทธ์และด้านการเงิน พบว่าผลการดำเนินงานด้านรายได้มีแนวโน้มต่ำกว่าเป้าหมายตามแผนอย่างต่อเนื่อง สะท้อนให้เห็นว่าความเสี่ยงคงเหลือยังอยู่ในระดับที่ต้องเฝ้าระวัง โดยเฉพาะรายได้จากนักศึกษาและจำนวนผู้สมัครเข้าศึกษาใหม่ ซึ่งเป็นปัจจัยสำคัญต่อความมั่นคงทางการเงินของคณะในระยะกลางและระยะยาว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ab/>
        <w:t xml:space="preserve">ทั้งนี้เมื่อพิจารณาจากข้อมูลรายได้รวมเทียบแผนงบประมาณย้อนหลัง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3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ปี พบว่า ปีงบประมาณ พ.ศ.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2566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คณะมีรายได้จริง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70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ล้านบาท เทียบเป้าหมาย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72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ล้านบาท คิดเป็นร้อยละความสำเร็จ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97.2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ขณะที่ ปีงบประมาณ พ.ศ.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2567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รายได้จริงลดลงเป็น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68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ล้านบาท เทียบเป้าหมาย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75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ล้านบาท คิดเป็นร้อยละความสำเร็จ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90.7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และ ปีงบประมาณ พ.ศ.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2568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รายได้จริงลดลงต่อเนื่องเป็น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64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ล้านบาท เทียบเป้าหมาย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78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ล้านบาท คิดเป็นร้อยละความสำเร็จ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82.1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สะท้อนแนวโน้มรายได้รวมที่อ่อนตัวลงอย่างมีนัยสำคัญ และเป็นสัญญาณเตือนต่อการบรรลุเป้าหมายตามแผนงบประมาณ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D3FD5">
        <w:rPr>
          <w:rFonts w:ascii="TH SarabunPSK" w:hAnsi="TH SarabunPSK" w:cs="TH SarabunPSK" w:hint="cs"/>
          <w:color w:val="EE0000"/>
          <w:sz w:val="32"/>
          <w:szCs w:val="32"/>
          <w:cs/>
        </w:rPr>
        <w:t>ในส่วนของ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รายได้จากนักศึกษา พบแนวโน้มลดลงต่อเนื่องจาก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50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ล้านบาท (พ.ศ.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 xml:space="preserve">2566) 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เป็น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46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ล้านบาท (พ.ศ.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 xml:space="preserve">2567) 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และ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40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ล้านบาท (พ.ศ.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 xml:space="preserve">2568) 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ประกอบกับจำนวนผู้สมัครเข้าศึกษาใหม่ลดลงจาก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1,250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คน เป็น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1,120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คน และ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980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คน ตามลำดับ ส่งผลให้รายได้ฐานหลักของคณะลดลงสอดคล้องกัน ขณะเดียวกัน รายได้จากบริการวิชาการ การทดสอบ และการฝึกอบรมมีแนวโน้มทรงตัวในระดับต่ำจาก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12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ล้านบาท เป็น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11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ล้านบาท และ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10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ล้านบาท และรายได้จากการใช้ประโยชน์ทรัพย์สินและพื้นที่เช่าลดลงจาก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6.0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ล้านบาท เป็น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5.5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ล้านบาท และ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5.2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 ล้านบาท ตามลำดับ สะท้อนว่ารายได้เสริมยังไม่สามารถชดเชยการหดตัวของรายได้ฐานได้เพียงพอ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นอกจากนี้ เมื่อพิจารณาความมั่นคงด้านการเงินโดยใช้อัตราส่วนรายได้ต่อรายจ่าย พบว่าอัตราส่วนดังกล่าวลดลงจาก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1.07 (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พ.ศ.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 xml:space="preserve">2566) 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เป็น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1.03 (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พ.ศ.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 xml:space="preserve">2567) 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และลดลงเป็น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>0.99 (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 xml:space="preserve">พ.ศ. </w:t>
      </w:r>
      <w:r w:rsidRPr="00AD3FD5">
        <w:rPr>
          <w:rFonts w:ascii="TH SarabunPSK" w:hAnsi="TH SarabunPSK" w:cs="TH SarabunPSK"/>
          <w:color w:val="EE0000"/>
          <w:sz w:val="32"/>
          <w:szCs w:val="32"/>
        </w:rPr>
        <w:t xml:space="preserve">2568) 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>ซึ่งสะท้อนข้อจำกัดด้านความคล่องตัวทางการเงิน และความจำเป็นในการยกระดับมาตรการเพิ่มรายได้ควบคู่กับมาตรการควบคุมค่าใช้จ่ายอย่างเหมาะสม</w:t>
      </w:r>
    </w:p>
    <w:p w14:paraId="426FD671" w14:textId="77777777" w:rsidR="00DB515F" w:rsidRPr="00AD3FD5" w:rsidRDefault="00BA60FA" w:rsidP="00BA60F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D3FD5">
        <w:rPr>
          <w:rFonts w:ascii="TH SarabunPSK" w:hAnsi="TH SarabunPSK" w:cs="TH SarabunPSK"/>
          <w:color w:val="EE0000"/>
          <w:sz w:val="32"/>
          <w:szCs w:val="32"/>
        </w:rPr>
        <w:tab/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t>คณะกำหนดทิศทางการดำเนินการในรอบปีถัดไปเพื่อยกระดับการบริหารความเสี่ยงด้านรายได้ให้เกิดผลในทางปฏิบัติ โดยมุ่งพัฒนาระบบวางแผนและกำกับติดตามรายได้ให้มีความชัดเจนและทันต่อสถานการณ์ ผ่านการจัดทำแผนรายได้รายไตรมาสแยกตามแหล่งรายได้และกำหนดมาตรการรองรับกรณีรายได้ต่ำกว่าแผน ควบคู่กับการเร่งมาตรการด้านนักศึกษาแบบมุ่งเป้าในรายหลักสูตร ทั้งการเพิ่มผู้สมัครและผู้ยืนยันสิทธิ์ รวมถึงการรักษาฐานนักศึกษาเพื่อลดการลาออกและการค้างชำระ พร้อมกันนี้ คณะจะเสริมความเข้มแข็งของรายได้เสริมด้วยการพัฒนาชุดบริการวิชาการที่สร้างรายได้ให้มีมาตรฐานและแข่งขันได้ โดยติดตาม</w:t>
      </w:r>
      <w:r w:rsidRPr="00AD3FD5">
        <w:rPr>
          <w:rFonts w:ascii="TH SarabunPSK" w:hAnsi="TH SarabunPSK" w:cs="TH SarabunPSK"/>
          <w:color w:val="EE0000"/>
          <w:sz w:val="32"/>
          <w:szCs w:val="32"/>
          <w:cs/>
        </w:rPr>
        <w:lastRenderedPageBreak/>
        <w:t>ผลรายไตรมาสและปรับมาตรการตามสถานการณ์ ในด้านการเงิน คณะจะกำกับควบคุมรายจ่ายโดยติดตามการเบิกจ่ายรายเดือน วิเคราะห์ความเบี่ยงเบนจากแผน และติดตามอัตราส่วนรายได้ต่อรายจ่ายอย่างสม่ำเสมอ ทั้งนี้ จะใช้ข้อมูลตัวชี้วัดความเสี่ยงเป็นฐานการตัดสินใจ โดยสรุปสถานการณ์รายได้เทียบแผนและสัญญาณเตือนภัยตามรอบรายงาน เพื่อเสนอผู้บริหารพิจารณาสั่งการและยกระดับมาตรการได้ทันท่วงที</w:t>
      </w:r>
    </w:p>
    <w:p w14:paraId="1F17E463" w14:textId="77777777" w:rsidR="007A2ECA" w:rsidRPr="00441B0C" w:rsidRDefault="007A2ECA" w:rsidP="00BA60F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28"/>
        </w:rPr>
      </w:pPr>
    </w:p>
    <w:p w14:paraId="42A66B38" w14:textId="472E9A73" w:rsidR="00DB515F" w:rsidRPr="0006334D" w:rsidRDefault="00DB515F" w:rsidP="00DB515F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06334D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ตารางที่ </w:t>
      </w:r>
      <w:r w:rsidRPr="0006334D">
        <w:rPr>
          <w:rFonts w:ascii="TH SarabunPSK" w:hAnsi="TH SarabunPSK" w:cs="TH SarabunPSK"/>
          <w:b/>
          <w:bCs/>
          <w:color w:val="EE0000"/>
          <w:sz w:val="32"/>
          <w:szCs w:val="32"/>
        </w:rPr>
        <w:t>1</w:t>
      </w:r>
      <w:r w:rsidRPr="0006334D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06334D">
        <w:rPr>
          <w:rFonts w:ascii="TH SarabunPSK" w:hAnsi="TH SarabunPSK" w:cs="TH SarabunPSK"/>
          <w:color w:val="EE0000"/>
          <w:sz w:val="32"/>
          <w:szCs w:val="32"/>
          <w:cs/>
        </w:rPr>
        <w:t xml:space="preserve">สรุปผลการดำเนินงานด้านรายได้และตัวชี้วัดสำคัญย้อนหลัง </w:t>
      </w:r>
      <w:r w:rsidRPr="0006334D">
        <w:rPr>
          <w:rFonts w:ascii="TH SarabunPSK" w:hAnsi="TH SarabunPSK" w:cs="TH SarabunPSK"/>
          <w:color w:val="EE0000"/>
          <w:sz w:val="32"/>
          <w:szCs w:val="32"/>
        </w:rPr>
        <w:t xml:space="preserve">3 </w:t>
      </w:r>
      <w:r w:rsidRPr="0006334D">
        <w:rPr>
          <w:rFonts w:ascii="TH SarabunPSK" w:hAnsi="TH SarabunPSK" w:cs="TH SarabunPSK"/>
          <w:color w:val="EE0000"/>
          <w:sz w:val="32"/>
          <w:szCs w:val="32"/>
          <w:cs/>
        </w:rPr>
        <w:t xml:space="preserve">ปีงบประมาณ (พ.ศ. </w:t>
      </w:r>
      <w:r w:rsidRPr="0006334D">
        <w:rPr>
          <w:rFonts w:ascii="TH SarabunPSK" w:hAnsi="TH SarabunPSK" w:cs="TH SarabunPSK"/>
          <w:color w:val="EE0000"/>
          <w:sz w:val="32"/>
          <w:szCs w:val="32"/>
        </w:rPr>
        <w:t>2566–2568)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0"/>
        <w:gridCol w:w="1199"/>
        <w:gridCol w:w="1199"/>
        <w:gridCol w:w="1199"/>
        <w:gridCol w:w="1070"/>
      </w:tblGrid>
      <w:tr w:rsidR="00441B0C" w:rsidRPr="0006334D" w14:paraId="5DEB0819" w14:textId="77777777" w:rsidTr="007A2ECA">
        <w:trPr>
          <w:trHeight w:val="2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A221C" w14:textId="77777777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C54F7" w14:textId="77777777" w:rsid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 xml:space="preserve">ปีงบประมาณ </w:t>
            </w:r>
          </w:p>
          <w:p w14:paraId="020B55E8" w14:textId="7E544B16" w:rsidR="00DB515F" w:rsidRPr="0006334D" w:rsidRDefault="0006334D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 xml:space="preserve">พ.ศ. </w:t>
            </w:r>
            <w:r w:rsidR="00DB515F" w:rsidRPr="0006334D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2566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80F0BE" w14:textId="77777777" w:rsid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 xml:space="preserve">ปีงบประมาณ </w:t>
            </w:r>
          </w:p>
          <w:p w14:paraId="07EB4E92" w14:textId="77A63660" w:rsidR="00DB515F" w:rsidRPr="0006334D" w:rsidRDefault="0006334D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 xml:space="preserve">พ.ศ. </w:t>
            </w:r>
            <w:r w:rsidR="00DB515F" w:rsidRPr="0006334D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2567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D2B62" w14:textId="77777777" w:rsid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 xml:space="preserve">ปีงบประมาณ </w:t>
            </w:r>
          </w:p>
          <w:p w14:paraId="6931EDBD" w14:textId="2992AC6A" w:rsidR="00DB515F" w:rsidRPr="0006334D" w:rsidRDefault="0006334D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 xml:space="preserve">พ.ศ. </w:t>
            </w:r>
            <w:r w:rsidR="00DB515F" w:rsidRPr="0006334D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2568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7A4D0F" w14:textId="77777777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>แนวโน้ม</w:t>
            </w:r>
          </w:p>
        </w:tc>
      </w:tr>
      <w:tr w:rsidR="00441B0C" w:rsidRPr="0006334D" w14:paraId="6C0FDC77" w14:textId="77777777" w:rsidTr="007A2ECA">
        <w:trPr>
          <w:trHeight w:val="2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E958F" w14:textId="77777777" w:rsidR="003436AC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เป้าหมายรายได้รวมตามแผนงบประมาณ </w:t>
            </w:r>
          </w:p>
          <w:p w14:paraId="1CA28425" w14:textId="258AD65E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449D9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81CB79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798EE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62B03D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เพิ่มขึ้น</w:t>
            </w:r>
          </w:p>
        </w:tc>
      </w:tr>
      <w:tr w:rsidR="00441B0C" w:rsidRPr="0006334D" w14:paraId="4FC9A21A" w14:textId="77777777" w:rsidTr="007A2ECA">
        <w:trPr>
          <w:trHeight w:val="2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9A5EF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รายได้จริงรวม</w:t>
            </w: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(</w:t>
            </w: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ล้านบาท)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FA076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AB9228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12C05A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A22E6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ลดลง</w:t>
            </w:r>
          </w:p>
        </w:tc>
      </w:tr>
      <w:tr w:rsidR="00441B0C" w:rsidRPr="0006334D" w14:paraId="3B32C1F5" w14:textId="77777777" w:rsidTr="007A2ECA">
        <w:trPr>
          <w:trHeight w:val="2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D5984A" w14:textId="77777777" w:rsidR="007A2ECA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ร้อยละความสำเร็จของรายได้รวม </w:t>
            </w:r>
          </w:p>
          <w:p w14:paraId="055CA367" w14:textId="1A191F61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(ร้อยละ)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F565BB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97.2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CA36E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90.7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268D66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82.1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B651C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ลดลงต่อเนื่อง</w:t>
            </w:r>
          </w:p>
        </w:tc>
      </w:tr>
      <w:tr w:rsidR="00441B0C" w:rsidRPr="0006334D" w14:paraId="7F4277BB" w14:textId="77777777" w:rsidTr="007A2ECA">
        <w:trPr>
          <w:trHeight w:val="2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7190F" w14:textId="77777777" w:rsidR="007A2ECA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รายได้จากนักศึกษา (</w:t>
            </w: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Tuition and Fees) </w:t>
            </w:r>
          </w:p>
          <w:p w14:paraId="2547A53A" w14:textId="604B2494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(</w:t>
            </w: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ล้านบาท)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A7803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AF20A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4597F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A649B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ลดลงต่อเนื่อง</w:t>
            </w:r>
          </w:p>
        </w:tc>
      </w:tr>
      <w:tr w:rsidR="00441B0C" w:rsidRPr="0006334D" w14:paraId="7FC9EE52" w14:textId="77777777" w:rsidTr="007A2ECA">
        <w:trPr>
          <w:trHeight w:val="2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83094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รายได้จากบริการวิชาการ การทดสอบ และการฝึกอบรม (ล้านบาท)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6C6A1E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FDE43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6E7041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D54522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ลดลงเล็กน้อย</w:t>
            </w:r>
          </w:p>
        </w:tc>
      </w:tr>
      <w:tr w:rsidR="00441B0C" w:rsidRPr="0006334D" w14:paraId="6838BB3A" w14:textId="77777777" w:rsidTr="007A2ECA">
        <w:trPr>
          <w:trHeight w:val="2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8B488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รายได้จากการใช้ประโยชน์ทรัพย์สินและพื้นที่เช่า (ล้านบาท)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278E2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447C6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25BD2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696446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ลดลงเล็กน้อย</w:t>
            </w:r>
          </w:p>
        </w:tc>
      </w:tr>
      <w:tr w:rsidR="00441B0C" w:rsidRPr="0006334D" w14:paraId="43A0B2E2" w14:textId="77777777" w:rsidTr="007A2ECA">
        <w:trPr>
          <w:trHeight w:val="2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38C31" w14:textId="4F8945E4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รายได้อื่น</w:t>
            </w:r>
            <w:r w:rsidR="007A2ECA"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ๆ</w:t>
            </w: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(</w:t>
            </w: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ล้านบาท)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D611C2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43723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416A1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94DAF5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เพิ่มขึ้น</w:t>
            </w:r>
          </w:p>
        </w:tc>
      </w:tr>
      <w:tr w:rsidR="00441B0C" w:rsidRPr="0006334D" w14:paraId="45101855" w14:textId="77777777" w:rsidTr="007A2ECA">
        <w:trPr>
          <w:trHeight w:val="2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B65B1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จำนวนผู้สมัครเข้าศึกษาใหม่</w:t>
            </w: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(</w:t>
            </w: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คน)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78E5C1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1,250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30EA1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1,120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51786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980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42BC6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ลดลงต่อเนื่อง</w:t>
            </w:r>
          </w:p>
        </w:tc>
      </w:tr>
      <w:tr w:rsidR="00441B0C" w:rsidRPr="0006334D" w14:paraId="4F2B15D8" w14:textId="77777777" w:rsidTr="007A2ECA">
        <w:trPr>
          <w:trHeight w:val="2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803FF" w14:textId="77777777" w:rsidR="007A2ECA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อัตราส่วนรายได้ต่อรายจ่าย </w:t>
            </w:r>
          </w:p>
          <w:p w14:paraId="158240B6" w14:textId="270E0C34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(</w:t>
            </w: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Revenue to Expense Ratio)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F932B3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1.07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AD9CA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1.03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21EF47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</w:rPr>
              <w:t>0.99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548EA" w14:textId="77777777" w:rsidR="00DB515F" w:rsidRPr="0006334D" w:rsidRDefault="00DB515F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06334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ลดลง</w:t>
            </w:r>
          </w:p>
        </w:tc>
      </w:tr>
    </w:tbl>
    <w:p w14:paraId="1B9BDF8A" w14:textId="77777777" w:rsidR="00DB515F" w:rsidRPr="0044423C" w:rsidRDefault="00DB515F" w:rsidP="00BA60FA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24"/>
          <w:szCs w:val="24"/>
        </w:rPr>
      </w:pPr>
      <w:r w:rsidRPr="0044423C">
        <w:rPr>
          <w:rFonts w:ascii="TH SarabunPSK" w:hAnsi="TH SarabunPSK" w:cs="TH SarabunPSK"/>
          <w:color w:val="EE0000"/>
          <w:sz w:val="24"/>
          <w:szCs w:val="24"/>
        </w:rPr>
        <w:t xml:space="preserve"> </w:t>
      </w:r>
    </w:p>
    <w:p w14:paraId="44F6E4BA" w14:textId="65F2B659" w:rsidR="00DB515F" w:rsidRPr="0006334D" w:rsidRDefault="00DB515F" w:rsidP="0006334D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28"/>
        </w:rPr>
      </w:pPr>
      <w:r w:rsidRPr="0006334D">
        <w:rPr>
          <w:rFonts w:ascii="TH SarabunPSK" w:hAnsi="TH SarabunPSK" w:cs="TH SarabunPSK"/>
          <w:b/>
          <w:bCs/>
          <w:color w:val="EE0000"/>
          <w:sz w:val="28"/>
          <w:cs/>
        </w:rPr>
        <w:t xml:space="preserve">ตารางที่ </w:t>
      </w:r>
      <w:r w:rsidRPr="0006334D">
        <w:rPr>
          <w:rFonts w:ascii="TH SarabunPSK" w:hAnsi="TH SarabunPSK" w:cs="TH SarabunPSK"/>
          <w:b/>
          <w:bCs/>
          <w:color w:val="EE0000"/>
          <w:sz w:val="28"/>
        </w:rPr>
        <w:t>2</w:t>
      </w:r>
      <w:r w:rsidRPr="0006334D">
        <w:rPr>
          <w:rFonts w:ascii="TH SarabunPSK" w:hAnsi="TH SarabunPSK" w:cs="TH SarabunPSK"/>
          <w:color w:val="EE0000"/>
          <w:sz w:val="28"/>
        </w:rPr>
        <w:t xml:space="preserve"> </w:t>
      </w:r>
      <w:r w:rsidR="0006334D" w:rsidRPr="0006334D">
        <w:rPr>
          <w:rFonts w:ascii="TH SarabunPSK" w:hAnsi="TH SarabunPSK" w:cs="TH SarabunPSK"/>
          <w:color w:val="EE0000"/>
          <w:sz w:val="28"/>
          <w:cs/>
        </w:rPr>
        <w:t>สรุปผลรายได้สะสมเทียบแผนงบประมาณ ส่วนต่าง และผลการวิเคราะห์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738"/>
        <w:gridCol w:w="1212"/>
        <w:gridCol w:w="782"/>
        <w:gridCol w:w="1412"/>
        <w:gridCol w:w="1018"/>
        <w:gridCol w:w="2802"/>
      </w:tblGrid>
      <w:tr w:rsidR="00441B0C" w:rsidRPr="0006334D" w14:paraId="260BDADF" w14:textId="77777777" w:rsidTr="00441B0C">
        <w:trPr>
          <w:trHeight w:val="20"/>
          <w:tblHeader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9F20E4" w14:textId="77777777" w:rsidR="00DB515F" w:rsidRPr="0006334D" w:rsidRDefault="00DB515F" w:rsidP="00441B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ปีงบประมาณ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8CFA7" w14:textId="77777777" w:rsidR="00886EC2" w:rsidRPr="0006334D" w:rsidRDefault="00886EC2" w:rsidP="00886E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 xml:space="preserve">รายได้รวมที่จัดเก็บได้จริง </w:t>
            </w:r>
          </w:p>
          <w:p w14:paraId="21BD7CCF" w14:textId="6C6780E2" w:rsidR="00DB515F" w:rsidRPr="0006334D" w:rsidRDefault="00886EC2" w:rsidP="00886E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(ลบ.)</w:t>
            </w:r>
          </w:p>
        </w:tc>
        <w:tc>
          <w:tcPr>
            <w:tcW w:w="0" w:type="auto"/>
          </w:tcPr>
          <w:p w14:paraId="213F167B" w14:textId="77777777" w:rsidR="00886EC2" w:rsidRPr="0006334D" w:rsidRDefault="00886EC2" w:rsidP="00886E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 xml:space="preserve">เป้าหมายรายได้รวมตามแผนงบประมาณ </w:t>
            </w:r>
          </w:p>
          <w:p w14:paraId="10742331" w14:textId="6036A43E" w:rsidR="00DB515F" w:rsidRPr="0006334D" w:rsidRDefault="00886EC2" w:rsidP="00886E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</w:pPr>
            <w:r w:rsidRPr="0006334D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(ลบ.)</w:t>
            </w:r>
          </w:p>
        </w:tc>
        <w:tc>
          <w:tcPr>
            <w:tcW w:w="0" w:type="auto"/>
          </w:tcPr>
          <w:p w14:paraId="5276C413" w14:textId="6FECA531" w:rsidR="00DB515F" w:rsidRPr="0006334D" w:rsidRDefault="00886EC2" w:rsidP="00886E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</w:pPr>
            <w:r w:rsidRPr="0006334D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ส่วนต่างรายได้จริงเทียบแผน</w:t>
            </w:r>
            <w:r w:rsidR="00DB515F" w:rsidRPr="0006334D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(ลบ.)</w:t>
            </w:r>
          </w:p>
        </w:tc>
        <w:tc>
          <w:tcPr>
            <w:tcW w:w="0" w:type="auto"/>
          </w:tcPr>
          <w:p w14:paraId="34358D28" w14:textId="7A044265" w:rsidR="00DB515F" w:rsidRPr="0006334D" w:rsidRDefault="00DB515F" w:rsidP="00441B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</w:pPr>
            <w:r w:rsidRPr="0006334D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ร้อยละการเปลี่ยนแปลงรายได้จริงเทียบปีก่อน (ร้อยละ)</w:t>
            </w:r>
          </w:p>
        </w:tc>
        <w:tc>
          <w:tcPr>
            <w:tcW w:w="0" w:type="auto"/>
          </w:tcPr>
          <w:p w14:paraId="4C972E6C" w14:textId="1EEE8ACC" w:rsidR="00DB515F" w:rsidRPr="0006334D" w:rsidRDefault="00DB515F" w:rsidP="00441B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</w:pPr>
            <w:r w:rsidRPr="0006334D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ร้อยละความเบี่ยงเบนจากแผน (ร้อยละ)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E15F26" w14:textId="28692E85" w:rsidR="00DB515F" w:rsidRPr="0006334D" w:rsidRDefault="00693B9A" w:rsidP="00441B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ผล</w:t>
            </w:r>
            <w:r w:rsidR="00441B0C" w:rsidRPr="0006334D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การวิเคราะห์</w:t>
            </w:r>
            <w:r w:rsidRPr="0006334D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 xml:space="preserve"> </w:t>
            </w:r>
          </w:p>
        </w:tc>
      </w:tr>
      <w:tr w:rsidR="00441B0C" w:rsidRPr="0006334D" w14:paraId="0D9CDBA2" w14:textId="77777777" w:rsidTr="007A2ECA">
        <w:trPr>
          <w:trHeight w:val="2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D85AFB" w14:textId="77777777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2566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70AFB" w14:textId="77777777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70</w:t>
            </w:r>
          </w:p>
        </w:tc>
        <w:tc>
          <w:tcPr>
            <w:tcW w:w="0" w:type="auto"/>
          </w:tcPr>
          <w:p w14:paraId="6F146EFE" w14:textId="6873C419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72</w:t>
            </w:r>
          </w:p>
        </w:tc>
        <w:tc>
          <w:tcPr>
            <w:tcW w:w="0" w:type="auto"/>
          </w:tcPr>
          <w:p w14:paraId="7DF303DA" w14:textId="3C36DD55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-2</w:t>
            </w:r>
          </w:p>
        </w:tc>
        <w:tc>
          <w:tcPr>
            <w:tcW w:w="0" w:type="auto"/>
          </w:tcPr>
          <w:p w14:paraId="736B063F" w14:textId="1025A1E4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-</w:t>
            </w:r>
          </w:p>
        </w:tc>
        <w:tc>
          <w:tcPr>
            <w:tcW w:w="0" w:type="auto"/>
          </w:tcPr>
          <w:p w14:paraId="58E267CF" w14:textId="5B95B632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-2.78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661768" w14:textId="0710505C" w:rsidR="00DB515F" w:rsidRPr="0006334D" w:rsidRDefault="007A2ECA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  <w:cs/>
              </w:rPr>
              <w:t>รายได้รวมใกล้เคียงเป้าหมายตามแผนงบประมาณ อย่างไรก็ตาม เริ่มปรากฏสัญญาณแนวโน้มจำนวนผู้สมัครเข้าศึกษาใหม่ลดลง ซึ่งกระทบรายได้จากนักศึกษาในระยะถัดไป</w:t>
            </w:r>
          </w:p>
        </w:tc>
      </w:tr>
      <w:tr w:rsidR="00441B0C" w:rsidRPr="0006334D" w14:paraId="00CB2495" w14:textId="77777777" w:rsidTr="007A2ECA">
        <w:trPr>
          <w:trHeight w:val="2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A28A13" w14:textId="77777777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2567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97EBE5" w14:textId="77777777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68</w:t>
            </w:r>
          </w:p>
        </w:tc>
        <w:tc>
          <w:tcPr>
            <w:tcW w:w="0" w:type="auto"/>
          </w:tcPr>
          <w:p w14:paraId="48D23A90" w14:textId="1FD5CF16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75</w:t>
            </w:r>
          </w:p>
        </w:tc>
        <w:tc>
          <w:tcPr>
            <w:tcW w:w="0" w:type="auto"/>
          </w:tcPr>
          <w:p w14:paraId="441D94D5" w14:textId="68764439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-7</w:t>
            </w:r>
          </w:p>
        </w:tc>
        <w:tc>
          <w:tcPr>
            <w:tcW w:w="0" w:type="auto"/>
          </w:tcPr>
          <w:p w14:paraId="621176EF" w14:textId="1F3AE94E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-2.86</w:t>
            </w:r>
          </w:p>
        </w:tc>
        <w:tc>
          <w:tcPr>
            <w:tcW w:w="0" w:type="auto"/>
          </w:tcPr>
          <w:p w14:paraId="49784A2E" w14:textId="0BFC0CDC" w:rsidR="00DB515F" w:rsidRPr="0006334D" w:rsidRDefault="007A2ECA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-9.33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FA21D" w14:textId="7B29DC1A" w:rsidR="00DB515F" w:rsidRPr="0006334D" w:rsidRDefault="007A2ECA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  <w:cs/>
              </w:rPr>
              <w:t>รายได้จริงลดลงจากปีก่อน และรายได้รวมต่ำกว่าเป้าหมายเพิ่มขึ้น จึงควรเร่งมาตรการรับนักศึกษาเชิงรุกและ</w:t>
            </w:r>
            <w:r w:rsidRPr="0006334D">
              <w:rPr>
                <w:rFonts w:ascii="TH SarabunPSK" w:hAnsi="TH SarabunPSK" w:cs="TH SarabunPSK"/>
                <w:color w:val="EE0000"/>
                <w:sz w:val="28"/>
                <w:cs/>
              </w:rPr>
              <w:lastRenderedPageBreak/>
              <w:t>มาตรการรักษาฐานนักศึกษา เพื่อลดการสูญเสียรายได้</w:t>
            </w:r>
          </w:p>
        </w:tc>
      </w:tr>
      <w:tr w:rsidR="00441B0C" w:rsidRPr="0006334D" w14:paraId="2D0456B3" w14:textId="77777777" w:rsidTr="007A2ECA">
        <w:trPr>
          <w:trHeight w:val="20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4706C7" w14:textId="77777777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lastRenderedPageBreak/>
              <w:t>2568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BBEF0" w14:textId="77777777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64</w:t>
            </w:r>
          </w:p>
        </w:tc>
        <w:tc>
          <w:tcPr>
            <w:tcW w:w="0" w:type="auto"/>
          </w:tcPr>
          <w:p w14:paraId="5C9E2051" w14:textId="1C24389E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78</w:t>
            </w:r>
          </w:p>
        </w:tc>
        <w:tc>
          <w:tcPr>
            <w:tcW w:w="0" w:type="auto"/>
          </w:tcPr>
          <w:p w14:paraId="394AAC53" w14:textId="349CCD2E" w:rsidR="00DB515F" w:rsidRPr="0006334D" w:rsidRDefault="00DB515F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-14</w:t>
            </w:r>
          </w:p>
        </w:tc>
        <w:tc>
          <w:tcPr>
            <w:tcW w:w="0" w:type="auto"/>
          </w:tcPr>
          <w:p w14:paraId="240EA5FB" w14:textId="7B7A15D2" w:rsidR="00DB515F" w:rsidRPr="0006334D" w:rsidRDefault="007A2ECA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-5.88</w:t>
            </w:r>
          </w:p>
        </w:tc>
        <w:tc>
          <w:tcPr>
            <w:tcW w:w="0" w:type="auto"/>
          </w:tcPr>
          <w:p w14:paraId="129929BE" w14:textId="7B01E4F6" w:rsidR="00DB515F" w:rsidRPr="0006334D" w:rsidRDefault="007A2ECA" w:rsidP="007A2E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</w:rPr>
              <w:t>-17.95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EBD2D6" w14:textId="4DFD5B02" w:rsidR="00DB515F" w:rsidRPr="0006334D" w:rsidRDefault="007A2ECA" w:rsidP="007A2ECA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28"/>
              </w:rPr>
            </w:pPr>
            <w:r w:rsidRPr="0006334D">
              <w:rPr>
                <w:rFonts w:ascii="TH SarabunPSK" w:hAnsi="TH SarabunPSK" w:cs="TH SarabunPSK"/>
                <w:color w:val="EE0000"/>
                <w:sz w:val="28"/>
                <w:cs/>
              </w:rPr>
              <w:t>ส่วนต่างรายได้ขยายตัวต่อเนื่อง รายได้จริงลดลงจากปีก่อนในระดับสูงขึ้น สะท้อนข้อจำกัดด้านดุลการเงิน จึงจำเป็นต้องยกระดับมาตรการเพิ่มรายได้ควบคู่กับการควบคุมค่าใช้จ่ายอย่างเข้มข้นและต่อเนื่อง</w:t>
            </w:r>
          </w:p>
        </w:tc>
      </w:tr>
    </w:tbl>
    <w:p w14:paraId="0C069D7B" w14:textId="13CC7EBF" w:rsidR="00BA60FA" w:rsidRPr="0006334D" w:rsidRDefault="00DB515F" w:rsidP="00DB515F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28"/>
        </w:rPr>
      </w:pPr>
      <w:r w:rsidRPr="0006334D">
        <w:rPr>
          <w:rFonts w:ascii="TH SarabunPSK" w:hAnsi="TH SarabunPSK" w:cs="TH SarabunPSK"/>
          <w:color w:val="EE0000"/>
          <w:sz w:val="28"/>
        </w:rPr>
        <w:t xml:space="preserve"> </w:t>
      </w:r>
    </w:p>
    <w:p w14:paraId="1BB55986" w14:textId="28CF9D9B" w:rsidR="00D14AD5" w:rsidRPr="003B47A9" w:rsidRDefault="00D14AD5" w:rsidP="003B47A9">
      <w:pPr>
        <w:pStyle w:val="a9"/>
        <w:numPr>
          <w:ilvl w:val="0"/>
          <w:numId w:val="14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47A9">
        <w:rPr>
          <w:rFonts w:ascii="TH SarabunPSK" w:hAnsi="TH SarabunPSK" w:cs="TH SarabunPSK"/>
          <w:b/>
          <w:bCs/>
          <w:sz w:val="32"/>
          <w:szCs w:val="32"/>
          <w:cs/>
        </w:rPr>
        <w:t>สาเหตุหลักจากปัจจัยภายในและปัจจัยภายนอกที่นำไปสู่ความเสี่ยง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4508"/>
        <w:gridCol w:w="4509"/>
      </w:tblGrid>
      <w:tr w:rsidR="00D14AD5" w:rsidRPr="00A30500" w14:paraId="5F46564A" w14:textId="77777777" w:rsidTr="006C74CB">
        <w:tc>
          <w:tcPr>
            <w:tcW w:w="2500" w:type="pct"/>
          </w:tcPr>
          <w:p w14:paraId="17383523" w14:textId="77777777" w:rsidR="00D14AD5" w:rsidRPr="00377525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7752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ปัจจัยภายใน</w:t>
            </w:r>
          </w:p>
        </w:tc>
        <w:tc>
          <w:tcPr>
            <w:tcW w:w="2500" w:type="pct"/>
          </w:tcPr>
          <w:p w14:paraId="625B2FD1" w14:textId="77777777" w:rsidR="00D14AD5" w:rsidRPr="00377525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7752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ปัจจัยภายนอก</w:t>
            </w:r>
          </w:p>
        </w:tc>
      </w:tr>
      <w:tr w:rsidR="002C1452" w:rsidRPr="00A30500" w14:paraId="5E80AD78" w14:textId="77777777" w:rsidTr="006C74CB">
        <w:tc>
          <w:tcPr>
            <w:tcW w:w="2500" w:type="pct"/>
          </w:tcPr>
          <w:p w14:paraId="69E37999" w14:textId="77777777" w:rsidR="002C1452" w:rsidRPr="000B1EB3" w:rsidRDefault="002C1452" w:rsidP="002C1452">
            <w:pPr>
              <w:pStyle w:val="a9"/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0B1EB3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ศักยภาพของหน่วยงานภายในในการสร้างรายได้ยังไม่เต็มประสิทธิภาพ</w:t>
            </w:r>
          </w:p>
          <w:p w14:paraId="56BCD0B0" w14:textId="77777777" w:rsidR="002C1452" w:rsidRPr="000B1EB3" w:rsidRDefault="002C1452" w:rsidP="002C1452">
            <w:pPr>
              <w:pStyle w:val="a9"/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0B1EB3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จำนวนหลักสูตรหรือบริการวิชาการที่สร้างรายได้ยังไม่เพียงพอ หรือมีการแข่งขันสูง</w:t>
            </w:r>
          </w:p>
          <w:p w14:paraId="249ED9E3" w14:textId="77777777" w:rsidR="002C1452" w:rsidRPr="000B1EB3" w:rsidRDefault="002C1452" w:rsidP="002C1452">
            <w:pPr>
              <w:pStyle w:val="a9"/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0B1EB3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การบริหารต้นทุนภายในยังไม่คล่องตัวยังไม่เข้มแข็ง</w:t>
            </w:r>
          </w:p>
          <w:p w14:paraId="7D19AD28" w14:textId="72FEF0B5" w:rsidR="002C1452" w:rsidRPr="000B1EB3" w:rsidRDefault="002C1452" w:rsidP="002C1452">
            <w:pPr>
              <w:pStyle w:val="a9"/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0B1EB3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 xml:space="preserve">ระบบสารสนเทศและดิจิทัลที่สนับสนุนรายได้ (เช่น ระบบฝึกอบรม/ระบบบริการวิชาการ) </w:t>
            </w:r>
            <w:r w:rsidR="000B1EB3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br/>
            </w:r>
            <w:r w:rsidRPr="000B1EB3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ยังไม่สมบูรณ์</w:t>
            </w:r>
          </w:p>
          <w:p w14:paraId="3B7664DD" w14:textId="77777777" w:rsidR="002C1452" w:rsidRPr="000B1EB3" w:rsidRDefault="002C1452" w:rsidP="002C1452">
            <w:pPr>
              <w:pStyle w:val="a9"/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0B1EB3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ความสามารถในการพัฒนาหลักสูตรใหม่หรือหลักสูตรออนไลน์ยังจำกัด</w:t>
            </w:r>
          </w:p>
          <w:p w14:paraId="67B692BA" w14:textId="5533B367" w:rsidR="002C1452" w:rsidRPr="000B1EB3" w:rsidRDefault="002C1452" w:rsidP="002C1452">
            <w:pPr>
              <w:pStyle w:val="a9"/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0B1EB3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โครงสร้างพื้นฐาน ห้องปฏิบัติการ และทรัพย์สินที่สร้างรายได้มีข้อจำกัดด้านงบประมาณในการพัฒ</w:t>
            </w:r>
            <w:r w:rsidRPr="000B1EB3">
              <w:rPr>
                <w:rFonts w:ascii="TH SarabunPSK" w:eastAsia="Times New Roman" w:hAnsi="TH SarabunPSK" w:cs="TH SarabunPSK" w:hint="cs"/>
                <w:color w:val="EE0000"/>
                <w:sz w:val="32"/>
                <w:szCs w:val="32"/>
                <w:cs/>
              </w:rPr>
              <w:t>นา</w:t>
            </w:r>
          </w:p>
        </w:tc>
        <w:tc>
          <w:tcPr>
            <w:tcW w:w="2500" w:type="pct"/>
          </w:tcPr>
          <w:p w14:paraId="3E9AFB7F" w14:textId="77777777" w:rsidR="002C1452" w:rsidRPr="000B1EB3" w:rsidRDefault="002C1452" w:rsidP="002C1452">
            <w:pPr>
              <w:pStyle w:val="a9"/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0B1EB3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ภาวะเศรษฐกิจชะลอตัว ส่งผลต่อความสามารถในการจ่ายของผู้เรียนและการตัดสินใจเรียนต่อ</w:t>
            </w:r>
          </w:p>
          <w:p w14:paraId="5AAF171F" w14:textId="77777777" w:rsidR="002C1452" w:rsidRPr="000B1EB3" w:rsidRDefault="002C1452" w:rsidP="002C1452">
            <w:pPr>
              <w:pStyle w:val="a9"/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0B1EB3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การแข่งขันที่รุนแรงระหว่างสถาบันอุดมศึกษา ทั้งภาครัฐ เอกชน และมหาวิทยาลัยออนไลน์</w:t>
            </w:r>
          </w:p>
          <w:p w14:paraId="0A16E4E5" w14:textId="77777777" w:rsidR="002C1452" w:rsidRPr="000B1EB3" w:rsidRDefault="002C1452" w:rsidP="002C1452">
            <w:pPr>
              <w:pStyle w:val="a9"/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0B1EB3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การเข้าสู่สังคมผู้สูงอายุ ทำให้จำนวนประชากรวัยเรียนลดลงอย่างต่อเนื่อง</w:t>
            </w:r>
          </w:p>
          <w:p w14:paraId="2B57D67F" w14:textId="77777777" w:rsidR="002C1452" w:rsidRPr="000B1EB3" w:rsidRDefault="002C1452" w:rsidP="002C1452">
            <w:pPr>
              <w:pStyle w:val="a9"/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0B1EB3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การเปลี่ยนแปลงนโยบายการจัดสรรงบประมาณและเงินอุดหนุนของภาครัฐ</w:t>
            </w:r>
          </w:p>
          <w:p w14:paraId="1AB39BF6" w14:textId="77777777" w:rsidR="002C1452" w:rsidRPr="000B1EB3" w:rsidRDefault="002C1452" w:rsidP="002C1452">
            <w:pPr>
              <w:pStyle w:val="a9"/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0B1EB3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ความผันผวนของรายได้จากบริการวิชาการและธุรกิจที่เกี่ยวข้องกับอุตสาหกรรมภายนอก</w:t>
            </w:r>
          </w:p>
          <w:p w14:paraId="1B8528F3" w14:textId="68583344" w:rsidR="002C1452" w:rsidRPr="000B1EB3" w:rsidRDefault="002C1452" w:rsidP="002C1452">
            <w:pPr>
              <w:pStyle w:val="a9"/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</w:pPr>
            <w:r w:rsidRPr="000B1EB3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 xml:space="preserve">แนวโน้มของผู้เรียนที่เลือกช่องทางการศึกษาแบบออนไลน์หรือ </w:t>
            </w:r>
            <w:r w:rsidRPr="000B1EB3">
              <w:rPr>
                <w:rFonts w:ascii="TH SarabunPSK" w:eastAsia="Times New Roman" w:hAnsi="TH SarabunPSK" w:cs="TH SarabunPSK"/>
                <w:color w:val="EE0000"/>
                <w:sz w:val="32"/>
                <w:szCs w:val="32"/>
              </w:rPr>
              <w:t xml:space="preserve">Non-degree </w:t>
            </w:r>
            <w:r w:rsidRPr="000B1EB3"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  <w:t>ซึ่งกระทบบทบาทมหาวิทยาลัยดั้งเดิม</w:t>
            </w:r>
          </w:p>
        </w:tc>
      </w:tr>
    </w:tbl>
    <w:p w14:paraId="4194FB0E" w14:textId="50072D2E" w:rsidR="003B47A9" w:rsidRDefault="003B47A9" w:rsidP="003B47A9">
      <w:pPr>
        <w:pStyle w:val="a9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189C926" w14:textId="46206ECD" w:rsidR="00D14AD5" w:rsidRPr="003B47A9" w:rsidRDefault="00D14AD5" w:rsidP="003B47A9">
      <w:pPr>
        <w:pStyle w:val="a9"/>
        <w:numPr>
          <w:ilvl w:val="0"/>
          <w:numId w:val="14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B47A9">
        <w:rPr>
          <w:rFonts w:ascii="TH SarabunPSK" w:hAnsi="TH SarabunPSK" w:cs="TH SarabunPSK"/>
          <w:b/>
          <w:bCs/>
          <w:sz w:val="32"/>
          <w:szCs w:val="32"/>
          <w:cs/>
        </w:rPr>
        <w:t>ผลกระทบของความเสี่ยงต่อมหาวิทยาลัย</w:t>
      </w:r>
    </w:p>
    <w:p w14:paraId="74C6DBE5" w14:textId="4B60AE37" w:rsidR="002C1452" w:rsidRPr="000B1EB3" w:rsidRDefault="002C1452" w:rsidP="000B1EB3">
      <w:pPr>
        <w:pStyle w:val="a9"/>
        <w:numPr>
          <w:ilvl w:val="0"/>
          <w:numId w:val="157"/>
        </w:numPr>
        <w:tabs>
          <w:tab w:val="left" w:pos="350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0B1EB3">
        <w:rPr>
          <w:rFonts w:ascii="TH SarabunPSK" w:hAnsi="TH SarabunPSK" w:cs="TH SarabunPSK"/>
          <w:color w:val="EE0000"/>
          <w:sz w:val="32"/>
          <w:szCs w:val="32"/>
          <w:cs/>
        </w:rPr>
        <w:t>การขับเคลื่อนสู่เป้าหมายตามวิสัยทัศน์และแผนยุทธศาสตร์ของมหาวิทยาลัยล่าช้ากว่ากำหนด ส่งผลต่อภาพลักษณ์ ความน่าเชื่อถือ และความสามารถในการแข่งขันขององค์กร</w:t>
      </w:r>
    </w:p>
    <w:p w14:paraId="182DC57A" w14:textId="65837881" w:rsidR="002C1452" w:rsidRPr="000B1EB3" w:rsidRDefault="002C1452" w:rsidP="000B1EB3">
      <w:pPr>
        <w:pStyle w:val="a9"/>
        <w:numPr>
          <w:ilvl w:val="0"/>
          <w:numId w:val="157"/>
        </w:numPr>
        <w:tabs>
          <w:tab w:val="left" w:pos="350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0B1EB3">
        <w:rPr>
          <w:rFonts w:ascii="TH SarabunPSK" w:hAnsi="TH SarabunPSK" w:cs="TH SarabunPSK"/>
          <w:color w:val="EE0000"/>
          <w:sz w:val="32"/>
          <w:szCs w:val="32"/>
          <w:cs/>
        </w:rPr>
        <w:t xml:space="preserve">ความเชื่อมั่นของผู้มีส่วนได้ส่วนเสีย ได้แก่ นักศึกษา ผู้ปกครอง บุคลากร ภาคธุรกิจ ภาคอุตสาหกรรม และสังคมชุมชน ลดลง ซึ่งอาจส่งผลต่อการตัดสินใจเลือกศึกษาต่อ </w:t>
      </w:r>
    </w:p>
    <w:p w14:paraId="5BAE5800" w14:textId="058F9977" w:rsidR="00D14AD5" w:rsidRPr="000B1EB3" w:rsidRDefault="002C1452" w:rsidP="000B1EB3">
      <w:pPr>
        <w:pStyle w:val="a9"/>
        <w:numPr>
          <w:ilvl w:val="0"/>
          <w:numId w:val="157"/>
        </w:numPr>
        <w:tabs>
          <w:tab w:val="left" w:pos="350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0B1EB3">
        <w:rPr>
          <w:rFonts w:ascii="TH SarabunPSK" w:hAnsi="TH SarabunPSK" w:cs="TH SarabunPSK"/>
          <w:color w:val="EE0000"/>
          <w:sz w:val="32"/>
          <w:szCs w:val="32"/>
          <w:cs/>
        </w:rPr>
        <w:t>การดำเนินงานตามพันธกิจหลักของมหาวิทยาลัยด้านการจัดการศึกษา วิจัย นวัตกรรม และบริการวิชาการได้รับผลกระทบ ทำให้ไม่สามารถแข่งขันกับสถาบันการศึกษาอื่นได้อย่างมีประสิทธิภาพ</w:t>
      </w:r>
    </w:p>
    <w:p w14:paraId="30F300B5" w14:textId="18D211D1" w:rsidR="002C1452" w:rsidRPr="0067519B" w:rsidRDefault="002C1452" w:rsidP="002C1452">
      <w:pPr>
        <w:tabs>
          <w:tab w:val="left" w:pos="3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C901FB" w14:textId="1B83D4D0" w:rsidR="002D413E" w:rsidRDefault="00D14AD5" w:rsidP="002D413E">
      <w:pPr>
        <w:pStyle w:val="a9"/>
        <w:numPr>
          <w:ilvl w:val="0"/>
          <w:numId w:val="146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B47A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ตัวชี้วัดความเสี่ยง (</w:t>
      </w:r>
      <w:r w:rsidRPr="003B47A9">
        <w:rPr>
          <w:rFonts w:ascii="TH SarabunPSK" w:hAnsi="TH SarabunPSK" w:cs="TH SarabunPSK"/>
          <w:b/>
          <w:bCs/>
          <w:sz w:val="32"/>
          <w:szCs w:val="32"/>
        </w:rPr>
        <w:t>KRI)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3693"/>
        <w:gridCol w:w="2662"/>
        <w:gridCol w:w="2662"/>
      </w:tblGrid>
      <w:tr w:rsidR="002C4196" w:rsidRPr="002C4196" w14:paraId="47291A40" w14:textId="77777777" w:rsidTr="00D92FBD">
        <w:trPr>
          <w:tblHeader/>
        </w:trPr>
        <w:tc>
          <w:tcPr>
            <w:tcW w:w="2048" w:type="pct"/>
            <w:vMerge w:val="restart"/>
            <w:vAlign w:val="center"/>
          </w:tcPr>
          <w:p w14:paraId="3B04849C" w14:textId="36C3B683" w:rsidR="002C4196" w:rsidRPr="002C4196" w:rsidRDefault="002C4196" w:rsidP="002C4196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C4196">
              <w:rPr>
                <w:rFonts w:ascii="TH SarabunPSK" w:hAnsi="TH SarabunPSK" w:cs="TH SarabunPSK"/>
                <w:b/>
                <w:bCs/>
                <w:sz w:val="28"/>
              </w:rPr>
              <w:t>KRI</w:t>
            </w:r>
          </w:p>
        </w:tc>
        <w:tc>
          <w:tcPr>
            <w:tcW w:w="2952" w:type="pct"/>
            <w:gridSpan w:val="2"/>
          </w:tcPr>
          <w:p w14:paraId="7CDD0C2D" w14:textId="3E90AF52" w:rsidR="002C4196" w:rsidRPr="002C4196" w:rsidRDefault="002C4196" w:rsidP="00E026F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C419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เพดานความเสี่ยง</w:t>
            </w:r>
            <w:r w:rsidRPr="002C419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2C419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2C419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Risk Limit</w:t>
            </w:r>
            <w:r w:rsidRPr="002C419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2C4196" w:rsidRPr="002C4196" w14:paraId="7B7AA989" w14:textId="77777777" w:rsidTr="00D92FBD">
        <w:trPr>
          <w:tblHeader/>
        </w:trPr>
        <w:tc>
          <w:tcPr>
            <w:tcW w:w="2048" w:type="pct"/>
            <w:vMerge/>
          </w:tcPr>
          <w:p w14:paraId="0EE0E57D" w14:textId="77777777" w:rsidR="002C4196" w:rsidRPr="002C4196" w:rsidRDefault="002C4196" w:rsidP="00E026F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76" w:type="pct"/>
          </w:tcPr>
          <w:p w14:paraId="4F499F89" w14:textId="585D559C" w:rsidR="002C4196" w:rsidRPr="002C4196" w:rsidRDefault="002C4196" w:rsidP="00E026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C419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ระดับความเสี่ยงที่ยอมรับได้</w:t>
            </w:r>
          </w:p>
          <w:p w14:paraId="64D0B6E3" w14:textId="567A19E5" w:rsidR="002C4196" w:rsidRPr="002C4196" w:rsidRDefault="002C4196" w:rsidP="00E026F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C419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C4196">
              <w:rPr>
                <w:rFonts w:ascii="TH SarabunPSK" w:hAnsi="TH SarabunPSK" w:cs="TH SarabunPSK"/>
                <w:b/>
                <w:bCs/>
                <w:sz w:val="28"/>
              </w:rPr>
              <w:t>Risk Appetite</w:t>
            </w:r>
            <w:r w:rsidRPr="002C419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76" w:type="pct"/>
          </w:tcPr>
          <w:p w14:paraId="5E024E11" w14:textId="0E3EC6AC" w:rsidR="002C4196" w:rsidRPr="002C4196" w:rsidRDefault="002C4196" w:rsidP="00E026F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C419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ระดับความเบี่ยงเบนความเสี่ยง</w:t>
            </w:r>
          </w:p>
          <w:p w14:paraId="3605116F" w14:textId="1979D57E" w:rsidR="002C4196" w:rsidRPr="002C4196" w:rsidRDefault="002C4196" w:rsidP="00E026F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C419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C4196">
              <w:rPr>
                <w:rFonts w:ascii="TH SarabunPSK" w:hAnsi="TH SarabunPSK" w:cs="TH SarabunPSK"/>
                <w:b/>
                <w:bCs/>
                <w:sz w:val="28"/>
              </w:rPr>
              <w:t>Risk Tolerance</w:t>
            </w:r>
            <w:r w:rsidRPr="002C419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C4196" w:rsidRPr="002C4196" w14:paraId="0332EEBA" w14:textId="77777777" w:rsidTr="00E026FD">
        <w:tc>
          <w:tcPr>
            <w:tcW w:w="2048" w:type="pct"/>
          </w:tcPr>
          <w:p w14:paraId="153A6028" w14:textId="77777777" w:rsidR="002C4196" w:rsidRPr="00A6335F" w:rsidRDefault="002C4196" w:rsidP="002C4196">
            <w:pPr>
              <w:pStyle w:val="THPSK"/>
              <w:jc w:val="left"/>
              <w:rPr>
                <w:color w:val="EE0000"/>
                <w:szCs w:val="28"/>
              </w:rPr>
            </w:pPr>
            <w:r w:rsidRPr="00A6335F">
              <w:rPr>
                <w:color w:val="EE0000"/>
                <w:szCs w:val="28"/>
              </w:rPr>
              <w:t xml:space="preserve">KRI1 </w:t>
            </w:r>
            <w:r w:rsidRPr="00A6335F">
              <w:rPr>
                <w:color w:val="EE0000"/>
                <w:szCs w:val="28"/>
                <w:cs/>
              </w:rPr>
              <w:t xml:space="preserve">อัตราการเปลี่ยนแปลงของรายได้รวมของคณะฯ </w:t>
            </w:r>
          </w:p>
          <w:p w14:paraId="2BC6E149" w14:textId="7B87A2DD" w:rsidR="002C4196" w:rsidRPr="00A6335F" w:rsidRDefault="002C4196" w:rsidP="002C4196">
            <w:pPr>
              <w:spacing w:line="240" w:lineRule="auto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เมื่อเทียบกับกับแผนฯ  </w:t>
            </w:r>
          </w:p>
        </w:tc>
        <w:tc>
          <w:tcPr>
            <w:tcW w:w="1476" w:type="pct"/>
          </w:tcPr>
          <w:p w14:paraId="07BD7262" w14:textId="6965941D" w:rsidR="002C4196" w:rsidRPr="00A6335F" w:rsidRDefault="002C4196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ลดลงไม่เกิน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ร้อยละ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3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ต่อปี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หรือมีแนวโน้มทรงตัว/เพิ่มขึ้น</w:t>
            </w:r>
          </w:p>
        </w:tc>
        <w:tc>
          <w:tcPr>
            <w:tcW w:w="1476" w:type="pct"/>
          </w:tcPr>
          <w:p w14:paraId="52FC0422" w14:textId="274B356F" w:rsidR="000E5B55" w:rsidRPr="00A6335F" w:rsidRDefault="002C4196" w:rsidP="000E5B55">
            <w:pPr>
              <w:pStyle w:val="THPSK"/>
              <w:rPr>
                <w:color w:val="EE0000"/>
                <w:szCs w:val="28"/>
              </w:rPr>
            </w:pPr>
            <w:r w:rsidRPr="00A6335F">
              <w:rPr>
                <w:color w:val="EE0000"/>
                <w:szCs w:val="28"/>
                <w:cs/>
              </w:rPr>
              <w:t>ลดลง</w:t>
            </w:r>
            <w:r w:rsidR="000E5B55" w:rsidRPr="00A6335F">
              <w:rPr>
                <w:color w:val="EE0000"/>
                <w:szCs w:val="28"/>
                <w:cs/>
              </w:rPr>
              <w:t>ระหว่าง</w:t>
            </w:r>
          </w:p>
          <w:p w14:paraId="09D9CA4F" w14:textId="69F76574" w:rsidR="002C4196" w:rsidRPr="00A6335F" w:rsidRDefault="002C4196" w:rsidP="000E5B55">
            <w:pPr>
              <w:pStyle w:val="THPSK"/>
              <w:rPr>
                <w:b/>
                <w:bCs/>
                <w:color w:val="EE0000"/>
                <w:szCs w:val="28"/>
              </w:rPr>
            </w:pPr>
            <w:r w:rsidRPr="00A6335F">
              <w:rPr>
                <w:color w:val="EE0000"/>
                <w:szCs w:val="28"/>
                <w:cs/>
              </w:rPr>
              <w:t xml:space="preserve">ร้อยละ </w:t>
            </w:r>
            <w:r w:rsidRPr="00A6335F">
              <w:rPr>
                <w:color w:val="EE0000"/>
                <w:szCs w:val="28"/>
              </w:rPr>
              <w:t xml:space="preserve">3 – 7 </w:t>
            </w:r>
            <w:r w:rsidRPr="00A6335F">
              <w:rPr>
                <w:color w:val="EE0000"/>
                <w:szCs w:val="28"/>
                <w:cs/>
              </w:rPr>
              <w:t>ต่อปี</w:t>
            </w:r>
          </w:p>
        </w:tc>
      </w:tr>
      <w:tr w:rsidR="002C4196" w:rsidRPr="002C4196" w14:paraId="6F25FA5C" w14:textId="77777777" w:rsidTr="00E026FD">
        <w:tc>
          <w:tcPr>
            <w:tcW w:w="2048" w:type="pct"/>
          </w:tcPr>
          <w:p w14:paraId="3E9C5BFA" w14:textId="363F2AC6" w:rsidR="002C4196" w:rsidRPr="00A6335F" w:rsidRDefault="002C4196" w:rsidP="002C4196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KRI2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รายได้จากนักศึกษา</w:t>
            </w:r>
          </w:p>
        </w:tc>
        <w:tc>
          <w:tcPr>
            <w:tcW w:w="1476" w:type="pct"/>
          </w:tcPr>
          <w:p w14:paraId="0F81607D" w14:textId="23782452" w:rsidR="002C4196" w:rsidRPr="00A6335F" w:rsidRDefault="002C4196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ลดลงไม่เกินร้อยละ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5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ต่อปี</w:t>
            </w:r>
          </w:p>
        </w:tc>
        <w:tc>
          <w:tcPr>
            <w:tcW w:w="1476" w:type="pct"/>
          </w:tcPr>
          <w:p w14:paraId="4CD9BD2A" w14:textId="75C14954" w:rsidR="000E5B55" w:rsidRPr="00A6335F" w:rsidRDefault="002C4196" w:rsidP="000E5B55">
            <w:pPr>
              <w:pStyle w:val="THPSK"/>
              <w:rPr>
                <w:color w:val="EE0000"/>
                <w:szCs w:val="28"/>
              </w:rPr>
            </w:pPr>
            <w:r w:rsidRPr="00A6335F">
              <w:rPr>
                <w:color w:val="EE0000"/>
                <w:szCs w:val="28"/>
                <w:cs/>
              </w:rPr>
              <w:t>ลดลง</w:t>
            </w:r>
            <w:r w:rsidR="000E5B55" w:rsidRPr="00A6335F">
              <w:rPr>
                <w:color w:val="EE0000"/>
                <w:szCs w:val="28"/>
                <w:cs/>
              </w:rPr>
              <w:t>ระหว่าง</w:t>
            </w:r>
          </w:p>
          <w:p w14:paraId="715F46A4" w14:textId="293762E5" w:rsidR="002C4196" w:rsidRPr="00A6335F" w:rsidRDefault="002C4196" w:rsidP="000E5B55">
            <w:pPr>
              <w:pStyle w:val="THPSK"/>
              <w:rPr>
                <w:b/>
                <w:bCs/>
                <w:color w:val="EE0000"/>
                <w:szCs w:val="28"/>
              </w:rPr>
            </w:pPr>
            <w:r w:rsidRPr="00A6335F">
              <w:rPr>
                <w:color w:val="EE0000"/>
                <w:szCs w:val="28"/>
                <w:cs/>
              </w:rPr>
              <w:t>ร้อยละ</w:t>
            </w:r>
            <w:r w:rsidRPr="00A6335F">
              <w:rPr>
                <w:rFonts w:hint="cs"/>
                <w:color w:val="EE0000"/>
                <w:szCs w:val="28"/>
                <w:cs/>
              </w:rPr>
              <w:t xml:space="preserve"> </w:t>
            </w:r>
            <w:r w:rsidRPr="00A6335F">
              <w:rPr>
                <w:color w:val="EE0000"/>
                <w:szCs w:val="28"/>
              </w:rPr>
              <w:t xml:space="preserve">5 – 10 </w:t>
            </w:r>
            <w:r w:rsidRPr="00A6335F">
              <w:rPr>
                <w:color w:val="EE0000"/>
                <w:szCs w:val="28"/>
                <w:cs/>
              </w:rPr>
              <w:t>ต่อปี</w:t>
            </w:r>
          </w:p>
        </w:tc>
      </w:tr>
      <w:tr w:rsidR="002C4196" w:rsidRPr="002C4196" w14:paraId="5FF16E54" w14:textId="77777777" w:rsidTr="00E026FD">
        <w:tc>
          <w:tcPr>
            <w:tcW w:w="2048" w:type="pct"/>
          </w:tcPr>
          <w:p w14:paraId="64265B56" w14:textId="6A38508C" w:rsidR="002C4196" w:rsidRPr="00A6335F" w:rsidRDefault="002C4196" w:rsidP="002C4196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KRI3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จำนวนผู้สมัครเข้าศึกษาใหม่ </w:t>
            </w:r>
          </w:p>
        </w:tc>
        <w:tc>
          <w:tcPr>
            <w:tcW w:w="1476" w:type="pct"/>
          </w:tcPr>
          <w:p w14:paraId="2E8AEBA1" w14:textId="03EE2AFF" w:rsidR="002C4196" w:rsidRPr="00A6335F" w:rsidRDefault="002C4196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ลดลงไม่เกินร้อยละ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3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ต่อปี</w:t>
            </w:r>
          </w:p>
        </w:tc>
        <w:tc>
          <w:tcPr>
            <w:tcW w:w="1476" w:type="pct"/>
          </w:tcPr>
          <w:p w14:paraId="615DB9A2" w14:textId="5C343E68" w:rsidR="000E5B55" w:rsidRPr="00A6335F" w:rsidRDefault="002C4196" w:rsidP="000E5B55">
            <w:pPr>
              <w:pStyle w:val="THPSK"/>
              <w:rPr>
                <w:color w:val="EE0000"/>
                <w:szCs w:val="28"/>
              </w:rPr>
            </w:pPr>
            <w:r w:rsidRPr="00A6335F">
              <w:rPr>
                <w:color w:val="EE0000"/>
                <w:szCs w:val="28"/>
                <w:cs/>
              </w:rPr>
              <w:t>ลดลง</w:t>
            </w:r>
            <w:r w:rsidR="000E5B55" w:rsidRPr="00A6335F">
              <w:rPr>
                <w:color w:val="EE0000"/>
                <w:szCs w:val="28"/>
                <w:cs/>
              </w:rPr>
              <w:t>ระหว่าง</w:t>
            </w:r>
          </w:p>
          <w:p w14:paraId="227E3CDB" w14:textId="63A76F77" w:rsidR="002C4196" w:rsidRPr="00A6335F" w:rsidRDefault="002C4196" w:rsidP="000E5B55">
            <w:pPr>
              <w:pStyle w:val="THPSK"/>
              <w:rPr>
                <w:b/>
                <w:bCs/>
                <w:color w:val="EE0000"/>
                <w:szCs w:val="28"/>
              </w:rPr>
            </w:pPr>
            <w:r w:rsidRPr="00A6335F">
              <w:rPr>
                <w:color w:val="EE0000"/>
                <w:szCs w:val="28"/>
                <w:cs/>
              </w:rPr>
              <w:t xml:space="preserve">ร้อยละ </w:t>
            </w:r>
            <w:r w:rsidRPr="00A6335F">
              <w:rPr>
                <w:color w:val="EE0000"/>
                <w:szCs w:val="28"/>
              </w:rPr>
              <w:t xml:space="preserve">5 – 10 </w:t>
            </w:r>
            <w:r w:rsidRPr="00A6335F">
              <w:rPr>
                <w:color w:val="EE0000"/>
                <w:szCs w:val="28"/>
                <w:cs/>
              </w:rPr>
              <w:t>ต่อปี</w:t>
            </w:r>
          </w:p>
        </w:tc>
      </w:tr>
      <w:tr w:rsidR="002C4196" w:rsidRPr="002C4196" w14:paraId="27BB8ADC" w14:textId="77777777" w:rsidTr="00E026FD">
        <w:tc>
          <w:tcPr>
            <w:tcW w:w="2048" w:type="pct"/>
          </w:tcPr>
          <w:p w14:paraId="066C712C" w14:textId="77777777" w:rsidR="002C4196" w:rsidRPr="00A6335F" w:rsidRDefault="002C4196" w:rsidP="002C4196">
            <w:pPr>
              <w:spacing w:line="240" w:lineRule="auto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KRI4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รายได้จากการให้บริการวิชาการ </w:t>
            </w:r>
          </w:p>
          <w:p w14:paraId="293B0753" w14:textId="1FB53985" w:rsidR="002C4196" w:rsidRPr="00A6335F" w:rsidRDefault="002C4196" w:rsidP="002C4196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การทดสอบ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และการฝึกอบรม</w:t>
            </w:r>
          </w:p>
        </w:tc>
        <w:tc>
          <w:tcPr>
            <w:tcW w:w="1476" w:type="pct"/>
          </w:tcPr>
          <w:p w14:paraId="5894C6E7" w14:textId="598B0DBC" w:rsidR="002C4196" w:rsidRPr="00A6335F" w:rsidRDefault="002C4196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รายได้ทรงตัวหรือเพิ่มขึ้นเมื่อเปรียบเทียบกับแผนงบประมาณปีงบประมาณก่อนหน้า และไม่ต่ำกว่าเป้าหมายตามแผน</w:t>
            </w:r>
            <w:r w:rsidR="000E5B55"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ง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บประมาณที่กำหนด</w:t>
            </w:r>
          </w:p>
        </w:tc>
        <w:tc>
          <w:tcPr>
            <w:tcW w:w="1476" w:type="pct"/>
          </w:tcPr>
          <w:p w14:paraId="20901E4E" w14:textId="77777777" w:rsidR="003436AC" w:rsidRDefault="002C4196" w:rsidP="000E5B55">
            <w:pPr>
              <w:pStyle w:val="THPSK"/>
              <w:rPr>
                <w:color w:val="EE0000"/>
                <w:szCs w:val="28"/>
              </w:rPr>
            </w:pPr>
            <w:r w:rsidRPr="00A6335F">
              <w:rPr>
                <w:color w:val="EE0000"/>
                <w:szCs w:val="28"/>
                <w:cs/>
              </w:rPr>
              <w:t>ลดลงไม่เกิน</w:t>
            </w:r>
          </w:p>
          <w:p w14:paraId="5E9F7E42" w14:textId="35FC0672" w:rsidR="002C4196" w:rsidRPr="00A6335F" w:rsidRDefault="002C4196" w:rsidP="000E5B55">
            <w:pPr>
              <w:pStyle w:val="THPSK"/>
              <w:rPr>
                <w:b/>
                <w:bCs/>
                <w:color w:val="EE0000"/>
                <w:szCs w:val="28"/>
              </w:rPr>
            </w:pPr>
            <w:r w:rsidRPr="00A6335F">
              <w:rPr>
                <w:color w:val="EE0000"/>
                <w:szCs w:val="28"/>
                <w:cs/>
              </w:rPr>
              <w:t xml:space="preserve">ร้อยละ </w:t>
            </w:r>
            <w:r w:rsidRPr="00A6335F">
              <w:rPr>
                <w:color w:val="EE0000"/>
                <w:szCs w:val="28"/>
              </w:rPr>
              <w:t>5</w:t>
            </w:r>
            <w:r w:rsidR="003436AC">
              <w:rPr>
                <w:b/>
                <w:bCs/>
                <w:color w:val="EE0000"/>
                <w:szCs w:val="28"/>
              </w:rPr>
              <w:t xml:space="preserve"> </w:t>
            </w:r>
            <w:r w:rsidR="003436AC" w:rsidRPr="00A6335F">
              <w:rPr>
                <w:color w:val="EE0000"/>
                <w:szCs w:val="28"/>
                <w:cs/>
              </w:rPr>
              <w:t>ต่อปี</w:t>
            </w:r>
          </w:p>
        </w:tc>
      </w:tr>
      <w:tr w:rsidR="002C4196" w:rsidRPr="002C4196" w14:paraId="760C55BC" w14:textId="77777777" w:rsidTr="00E026FD">
        <w:tc>
          <w:tcPr>
            <w:tcW w:w="2048" w:type="pct"/>
          </w:tcPr>
          <w:p w14:paraId="5B3DAFFC" w14:textId="77777777" w:rsidR="000E5B55" w:rsidRPr="00A6335F" w:rsidRDefault="002C4196" w:rsidP="002C4196">
            <w:pPr>
              <w:spacing w:line="240" w:lineRule="auto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KRI5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รายได้จากการใช้ประโยชน์ทรัพย์สิน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</w:p>
          <w:p w14:paraId="06BB953B" w14:textId="16126873" w:rsidR="002C4196" w:rsidRPr="00A6335F" w:rsidRDefault="002C4196" w:rsidP="002C4196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พื้นที่เช่า และกิจกรรมสร้างรายได้</w:t>
            </w:r>
          </w:p>
        </w:tc>
        <w:tc>
          <w:tcPr>
            <w:tcW w:w="1476" w:type="pct"/>
          </w:tcPr>
          <w:p w14:paraId="6558AE0B" w14:textId="7FA26CD4" w:rsidR="002C4196" w:rsidRPr="00A6335F" w:rsidRDefault="002C4196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รายได้มีแนวโน้มทรงตัวหรือเพิ่มขึ้นเมื่อเทียบกับปีงบประมาณก่อนหน้า</w:t>
            </w:r>
          </w:p>
        </w:tc>
        <w:tc>
          <w:tcPr>
            <w:tcW w:w="1476" w:type="pct"/>
          </w:tcPr>
          <w:p w14:paraId="6CED4C60" w14:textId="568AB599" w:rsidR="003436AC" w:rsidRDefault="006F56F6" w:rsidP="000E5B55">
            <w:pPr>
              <w:spacing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3436AC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EE2A3D0" wp14:editId="5C83EC0E">
                      <wp:simplePos x="0" y="0"/>
                      <wp:positionH relativeFrom="column">
                        <wp:posOffset>-2405380</wp:posOffset>
                      </wp:positionH>
                      <wp:positionV relativeFrom="page">
                        <wp:posOffset>207645</wp:posOffset>
                      </wp:positionV>
                      <wp:extent cx="4724400" cy="2590800"/>
                      <wp:effectExtent l="0" t="0" r="19050" b="1905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4527E" w14:textId="6EFCFE11" w:rsidR="00213E81" w:rsidRPr="00213E81" w:rsidRDefault="00213E81" w:rsidP="00213E81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3333FF"/>
                                      <w:sz w:val="28"/>
                                    </w:rPr>
                                  </w:pPr>
                                  <w:r w:rsidRPr="00213E81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3333FF"/>
                                      <w:sz w:val="28"/>
                                      <w:cs/>
                                    </w:rPr>
                                    <w:t>***** แนวทางในการกำหนด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3333FF"/>
                                      <w:sz w:val="28"/>
                                      <w:cs/>
                                    </w:rPr>
                                    <w:t xml:space="preserve"> 5. </w:t>
                                  </w:r>
                                  <w:r w:rsidRPr="00213E81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3333FF"/>
                                      <w:sz w:val="28"/>
                                      <w:cs/>
                                    </w:rPr>
                                    <w:t>เกณฑ์ประเมินระดับความเสี่ยง *****</w:t>
                                  </w:r>
                                </w:p>
                                <w:p w14:paraId="77CF8E47" w14:textId="00C48EC9" w:rsidR="00213E81" w:rsidRPr="00213E81" w:rsidRDefault="00213E81" w:rsidP="00213E81">
                                  <w:pPr>
                                    <w:pStyle w:val="a9"/>
                                    <w:numPr>
                                      <w:ilvl w:val="0"/>
                                      <w:numId w:val="162"/>
                                    </w:num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</w:rPr>
                                  </w:pPr>
                                  <w:r w:rsidRPr="00213E81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3333FF"/>
                                      <w:sz w:val="28"/>
                                      <w:cs/>
                                    </w:rPr>
                                    <w:t>ร</w:t>
                                  </w:r>
                                  <w:r w:rsidRPr="00213E81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3333FF"/>
                                      <w:sz w:val="28"/>
                                      <w:cs/>
                                    </w:rPr>
                                    <w:t>ะดับหน่วยงาน</w:t>
                                  </w:r>
                                  <w:r w:rsidRPr="00213E81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color w:val="3333FF"/>
                                      <w:sz w:val="28"/>
                                      <w:cs/>
                                    </w:rPr>
                                    <w:t>สามารถ</w:t>
                                  </w:r>
                                  <w:r w:rsidRPr="00213E81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  <w:cs/>
                                    </w:rPr>
                                    <w:t xml:space="preserve">กำหนด </w:t>
                                  </w:r>
                                  <w:r w:rsidRPr="00213E81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</w:rPr>
                                    <w:t xml:space="preserve">1 </w:t>
                                  </w:r>
                                  <w:r w:rsidRPr="00213E81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  <w:cs/>
                                    </w:rPr>
                                    <w:t>ค่าโอกาสเกิด (</w:t>
                                  </w:r>
                                  <w:r w:rsidRPr="00213E81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</w:rPr>
                                    <w:t xml:space="preserve">L) </w:t>
                                  </w:r>
                                  <w:r w:rsidRPr="00213E81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  <w:cs/>
                                    </w:rPr>
                                    <w:t xml:space="preserve">และ </w:t>
                                  </w:r>
                                  <w:r w:rsidRPr="00213E81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</w:rPr>
                                    <w:t xml:space="preserve">1 </w:t>
                                  </w:r>
                                  <w:r w:rsidRPr="00213E81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  <w:cs/>
                                    </w:rPr>
                                    <w:t>ค่าผลกระทบ (</w:t>
                                  </w:r>
                                  <w:r w:rsidRPr="00213E81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</w:rPr>
                                    <w:t xml:space="preserve">I) </w:t>
                                  </w:r>
                                  <w:r w:rsidRPr="00213E81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  <w:cs/>
                                    </w:rPr>
                                    <w:t xml:space="preserve">ต่อ </w:t>
                                  </w:r>
                                  <w:r w:rsidRPr="00213E81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</w:rPr>
                                    <w:t xml:space="preserve">1 </w:t>
                                  </w:r>
                                  <w:r w:rsidRPr="00213E81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  <w:cs/>
                                    </w:rPr>
                                    <w:t>ประเด็นความเสี่ยง</w:t>
                                  </w:r>
                                </w:p>
                                <w:p w14:paraId="285BDA18" w14:textId="3C5CB674" w:rsidR="00213E81" w:rsidRPr="00213E81" w:rsidRDefault="00832D69" w:rsidP="00832D69">
                                  <w:pPr>
                                    <w:numPr>
                                      <w:ilvl w:val="0"/>
                                      <w:numId w:val="162"/>
                                    </w:numPr>
                                    <w:spacing w:after="0" w:line="240" w:lineRule="auto"/>
                                    <w:jc w:val="thaiDistribute"/>
                                    <w:rPr>
                                      <w:rFonts w:ascii="TH SarabunPSK" w:eastAsia="Times New Roman" w:hAnsi="TH SarabunPSK" w:cs="TH SarabunPSK" w:hint="cs"/>
                                      <w:color w:val="3333FF"/>
                                      <w:sz w:val="28"/>
                                    </w:rPr>
                                  </w:pPr>
                                  <w:r w:rsidRPr="00832D69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3333FF"/>
                                      <w:sz w:val="28"/>
                                      <w:cs/>
                                    </w:rPr>
                                    <w:t>ระดับมหาวิทยาลัย</w:t>
                                  </w:r>
                                  <w:r w:rsidRPr="00832D69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  <w:cs/>
                                    </w:rPr>
                                    <w:t xml:space="preserve"> ตามแผนบริหารความเสี่ยงของมหาวิทยาลัย ในการวิเคราะห์ความเสี่ยง </w:t>
                                  </w:r>
                                  <w:r w:rsidRPr="00832D69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</w:rPr>
                                    <w:t xml:space="preserve">1 </w:t>
                                  </w:r>
                                  <w:r w:rsidRPr="00832D69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  <w:cs/>
                                    </w:rPr>
                                    <w:t xml:space="preserve">ประเด็น อาจกำหนด “กรณีย่อย” ได้มากกว่า </w:t>
                                  </w:r>
                                  <w:r w:rsidRPr="00832D69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</w:rPr>
                                    <w:t xml:space="preserve">1 </w:t>
                                  </w:r>
                                  <w:r w:rsidRPr="00832D69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  <w:cs/>
                                    </w:rPr>
                                    <w:t xml:space="preserve">กรณี เช่น </w:t>
                                  </w:r>
                                  <w:r w:rsidRPr="00832D69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</w:rPr>
                                    <w:t xml:space="preserve">R1 </w:t>
                                  </w:r>
                                  <w:r w:rsidRPr="00832D69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  <w:cs/>
                                    </w:rPr>
                                    <w:t xml:space="preserve">และ </w:t>
                                  </w:r>
                                  <w:r w:rsidRPr="00832D69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</w:rPr>
                                    <w:t xml:space="preserve">R2 </w:t>
                                  </w:r>
                                  <w:r w:rsidRPr="00832D69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  <w:cs/>
                                    </w:rPr>
                                    <w:t>เนื่องจากเหตุการณ์ความเสี่ยงเดียวกันอาจมีหลายสาเหตุและก่อให้เกิดผลกระทบได้หลายรูปแบบ และสามารถใช้เทคนิคการวิเคราะห์ที่แสดงเส้นทางจากสาเหตุไปสู่ผลกระทบเพื่อเชื่อมโยงมาตรการควบคุมได้อย่างเป็นระบบ ทั้งนี้ ได้กำหนดและแสดงสูตรการคำนวณระดับความเสี่ยงของแต่ละกรณีย่อยและระดับความเสี่ยงภาพรวมประกอบการพิจารณาไว้แล้ว (</w:t>
                                  </w:r>
                                  <w:r w:rsidRPr="00832D69">
                                    <w:rPr>
                                      <w:rFonts w:ascii="TH SarabunPSK" w:eastAsia="Times New Roman" w:hAnsi="TH SarabunPSK" w:cs="TH SarabunPSK"/>
                                      <w:color w:val="3333FF"/>
                                      <w:sz w:val="28"/>
                                    </w:rPr>
                                    <w:t>Committee of Sponsoring Organizations of the Treadway Commission [COSO], 2013, 2017; HM Treasury, 2023; International Electrotechnical Commission, 2019; International Organization for Standardization, 2009).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E2A3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189.4pt;margin-top:16.35pt;width:372pt;height:20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" fillcolor="#ffc">
                      <v:textbox>
                        <w:txbxContent>
                          <w:p w14:paraId="2024527E" w14:textId="6EFCFE11" w:rsidR="00213E81" w:rsidRPr="00213E81" w:rsidRDefault="00213E81" w:rsidP="00213E81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3333FF"/>
                                <w:sz w:val="28"/>
                              </w:rPr>
                            </w:pPr>
                            <w:r w:rsidRPr="00213E8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3333FF"/>
                                <w:sz w:val="28"/>
                                <w:cs/>
                              </w:rPr>
                              <w:t>***** แนวทางในการกำหนด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3333FF"/>
                                <w:sz w:val="28"/>
                                <w:cs/>
                              </w:rPr>
                              <w:t xml:space="preserve"> 5. </w:t>
                            </w:r>
                            <w:r w:rsidRPr="00213E8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3333FF"/>
                                <w:sz w:val="28"/>
                                <w:cs/>
                              </w:rPr>
                              <w:t>เกณฑ์ประเมินระดับความเสี่ยง *****</w:t>
                            </w:r>
                          </w:p>
                          <w:p w14:paraId="77CF8E47" w14:textId="00C48EC9" w:rsidR="00213E81" w:rsidRPr="00213E81" w:rsidRDefault="00213E81" w:rsidP="00213E81">
                            <w:pPr>
                              <w:pStyle w:val="a9"/>
                              <w:numPr>
                                <w:ilvl w:val="0"/>
                                <w:numId w:val="162"/>
                              </w:num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</w:rPr>
                            </w:pPr>
                            <w:r w:rsidRPr="00213E81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3333FF"/>
                                <w:sz w:val="28"/>
                                <w:cs/>
                              </w:rPr>
                              <w:t>ร</w:t>
                            </w:r>
                            <w:r w:rsidRPr="00213E81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3333FF"/>
                                <w:sz w:val="28"/>
                                <w:cs/>
                              </w:rPr>
                              <w:t>ะดับหน่วยงาน</w:t>
                            </w:r>
                            <w:r w:rsidRPr="00213E81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3333FF"/>
                                <w:sz w:val="28"/>
                                <w:cs/>
                              </w:rPr>
                              <w:t>สามารถ</w:t>
                            </w:r>
                            <w:r w:rsidRPr="00213E81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  <w:cs/>
                              </w:rPr>
                              <w:t xml:space="preserve">กำหนด </w:t>
                            </w:r>
                            <w:r w:rsidRPr="00213E81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</w:rPr>
                              <w:t xml:space="preserve">1 </w:t>
                            </w:r>
                            <w:r w:rsidRPr="00213E81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  <w:cs/>
                              </w:rPr>
                              <w:t>ค่าโอกาสเกิด (</w:t>
                            </w:r>
                            <w:r w:rsidRPr="00213E81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</w:rPr>
                              <w:t xml:space="preserve">L) </w:t>
                            </w:r>
                            <w:r w:rsidRPr="00213E81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  <w:cs/>
                              </w:rPr>
                              <w:t xml:space="preserve">และ </w:t>
                            </w:r>
                            <w:r w:rsidRPr="00213E81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</w:rPr>
                              <w:t xml:space="preserve">1 </w:t>
                            </w:r>
                            <w:r w:rsidRPr="00213E81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  <w:cs/>
                              </w:rPr>
                              <w:t>ค่าผลกระทบ (</w:t>
                            </w:r>
                            <w:r w:rsidRPr="00213E81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</w:rPr>
                              <w:t xml:space="preserve">I) </w:t>
                            </w:r>
                            <w:r w:rsidRPr="00213E81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  <w:cs/>
                              </w:rPr>
                              <w:t xml:space="preserve">ต่อ </w:t>
                            </w:r>
                            <w:r w:rsidRPr="00213E81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</w:rPr>
                              <w:t xml:space="preserve">1 </w:t>
                            </w:r>
                            <w:r w:rsidRPr="00213E81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  <w:cs/>
                              </w:rPr>
                              <w:t>ประเด็นความเสี่ยง</w:t>
                            </w:r>
                          </w:p>
                          <w:p w14:paraId="285BDA18" w14:textId="3C5CB674" w:rsidR="00213E81" w:rsidRPr="00213E81" w:rsidRDefault="00832D69" w:rsidP="00832D69">
                            <w:pPr>
                              <w:numPr>
                                <w:ilvl w:val="0"/>
                                <w:numId w:val="162"/>
                              </w:numPr>
                              <w:spacing w:after="0" w:line="240" w:lineRule="auto"/>
                              <w:jc w:val="thaiDistribute"/>
                              <w:rPr>
                                <w:rFonts w:ascii="TH SarabunPSK" w:eastAsia="Times New Roman" w:hAnsi="TH SarabunPSK" w:cs="TH SarabunPSK" w:hint="cs"/>
                                <w:color w:val="3333FF"/>
                                <w:sz w:val="28"/>
                              </w:rPr>
                            </w:pPr>
                            <w:r w:rsidRPr="00832D6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3333FF"/>
                                <w:sz w:val="28"/>
                                <w:cs/>
                              </w:rPr>
                              <w:t>ระดับมหาวิทยาลัย</w:t>
                            </w:r>
                            <w:r w:rsidRPr="00832D69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  <w:cs/>
                              </w:rPr>
                              <w:t xml:space="preserve"> ตามแผนบริหารความเสี่ยงของมหาวิทยาลัย ในการวิเคราะห์ความเสี่ยง </w:t>
                            </w:r>
                            <w:r w:rsidRPr="00832D69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</w:rPr>
                              <w:t xml:space="preserve">1 </w:t>
                            </w:r>
                            <w:r w:rsidRPr="00832D69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  <w:cs/>
                              </w:rPr>
                              <w:t xml:space="preserve">ประเด็น อาจกำหนด “กรณีย่อย” ได้มากกว่า </w:t>
                            </w:r>
                            <w:r w:rsidRPr="00832D69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</w:rPr>
                              <w:t xml:space="preserve">1 </w:t>
                            </w:r>
                            <w:r w:rsidRPr="00832D69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  <w:cs/>
                              </w:rPr>
                              <w:t xml:space="preserve">กรณี เช่น </w:t>
                            </w:r>
                            <w:r w:rsidRPr="00832D69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</w:rPr>
                              <w:t xml:space="preserve">R1 </w:t>
                            </w:r>
                            <w:r w:rsidRPr="00832D69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  <w:cs/>
                              </w:rPr>
                              <w:t xml:space="preserve">และ </w:t>
                            </w:r>
                            <w:r w:rsidRPr="00832D69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</w:rPr>
                              <w:t xml:space="preserve">R2 </w:t>
                            </w:r>
                            <w:r w:rsidRPr="00832D69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  <w:cs/>
                              </w:rPr>
                              <w:t>เนื่องจากเหตุการณ์ความเสี่ยงเดียวกันอาจมีหลายสาเหตุและก่อให้เกิดผลกระทบได้หลายรูปแบบ และสามารถใช้เทคนิคการวิเคราะห์ที่แสดงเส้นทางจากสาเหตุไปสู่ผลกระทบเพื่อเชื่อมโยงมาตรการควบคุมได้อย่างเป็นระบบ ทั้งนี้ ได้กำหนดและแสดงสูตรการคำนวณระดับความเสี่ยงของแต่ละกรณีย่อยและระดับความเสี่ยงภาพรวมประกอบการพิจารณาไว้แล้ว (</w:t>
                            </w:r>
                            <w:r w:rsidRPr="00832D69">
                              <w:rPr>
                                <w:rFonts w:ascii="TH SarabunPSK" w:eastAsia="Times New Roman" w:hAnsi="TH SarabunPSK" w:cs="TH SarabunPSK"/>
                                <w:color w:val="3333FF"/>
                                <w:sz w:val="28"/>
                              </w:rPr>
                              <w:t>Committee of Sponsoring Organizations of the Treadway Commission [COSO], 2013, 2017; HM Treasury, 2023; International Electrotechnical Commission, 2019; International Organization for Standardization, 2009).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C4196"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ลดลงไม่เกิน</w:t>
            </w:r>
          </w:p>
          <w:p w14:paraId="1619C7A2" w14:textId="3CB6656A" w:rsidR="002C4196" w:rsidRPr="00A6335F" w:rsidRDefault="002C4196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ร้อยละ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5</w:t>
            </w:r>
            <w:r w:rsidR="003436AC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 xml:space="preserve"> </w:t>
            </w:r>
            <w:r w:rsidR="003436AC" w:rsidRPr="00A6335F">
              <w:rPr>
                <w:color w:val="EE0000"/>
                <w:cs/>
              </w:rPr>
              <w:t>ต่อปี</w:t>
            </w:r>
          </w:p>
        </w:tc>
      </w:tr>
      <w:tr w:rsidR="002C4196" w:rsidRPr="002C4196" w14:paraId="72DC4D47" w14:textId="77777777" w:rsidTr="00E026FD">
        <w:tc>
          <w:tcPr>
            <w:tcW w:w="2048" w:type="pct"/>
          </w:tcPr>
          <w:p w14:paraId="65F2B5EE" w14:textId="77777777" w:rsidR="000E5B55" w:rsidRPr="00A6335F" w:rsidRDefault="002C4196" w:rsidP="002C4196">
            <w:pPr>
              <w:pStyle w:val="THPSK"/>
              <w:jc w:val="left"/>
              <w:rPr>
                <w:color w:val="EE0000"/>
                <w:szCs w:val="28"/>
              </w:rPr>
            </w:pPr>
            <w:r w:rsidRPr="00A6335F">
              <w:rPr>
                <w:color w:val="EE0000"/>
                <w:szCs w:val="28"/>
              </w:rPr>
              <w:t xml:space="preserve">KRI6 </w:t>
            </w:r>
            <w:r w:rsidRPr="00A6335F">
              <w:rPr>
                <w:color w:val="EE0000"/>
                <w:szCs w:val="28"/>
                <w:cs/>
              </w:rPr>
              <w:t xml:space="preserve">อัตราส่วนรายได้ต่อรายจ่าย </w:t>
            </w:r>
          </w:p>
          <w:p w14:paraId="3B2F0F1A" w14:textId="34A2D5D9" w:rsidR="002C4196" w:rsidRPr="00A6335F" w:rsidRDefault="002C4196" w:rsidP="002C4196">
            <w:pPr>
              <w:pStyle w:val="THPSK"/>
              <w:jc w:val="left"/>
              <w:rPr>
                <w:color w:val="EE0000"/>
                <w:szCs w:val="28"/>
              </w:rPr>
            </w:pPr>
            <w:r w:rsidRPr="00A6335F">
              <w:rPr>
                <w:color w:val="EE0000"/>
                <w:szCs w:val="28"/>
                <w:cs/>
              </w:rPr>
              <w:t>(</w:t>
            </w:r>
            <w:r w:rsidRPr="00A6335F">
              <w:rPr>
                <w:color w:val="EE0000"/>
                <w:szCs w:val="28"/>
              </w:rPr>
              <w:t>Revenue to Expense Ratio)</w:t>
            </w:r>
          </w:p>
          <w:p w14:paraId="17631C7C" w14:textId="77777777" w:rsidR="002C4196" w:rsidRPr="00A6335F" w:rsidRDefault="002C4196" w:rsidP="002C4196">
            <w:pPr>
              <w:pStyle w:val="THPSK"/>
              <w:jc w:val="left"/>
              <w:rPr>
                <w:color w:val="EE0000"/>
                <w:szCs w:val="28"/>
              </w:rPr>
            </w:pPr>
            <w:r w:rsidRPr="00A6335F">
              <w:rPr>
                <w:color w:val="EE0000"/>
                <w:szCs w:val="28"/>
                <w:u w:val="single"/>
                <w:cs/>
              </w:rPr>
              <w:t>คำนวณจาก</w:t>
            </w:r>
            <w:r w:rsidRPr="00A6335F">
              <w:rPr>
                <w:color w:val="EE0000"/>
                <w:szCs w:val="28"/>
                <w:cs/>
              </w:rPr>
              <w:t xml:space="preserve"> (อัตราส่วนรายได้ต่อรายจ่าย = รายได้รวมของมหาวิทยาลัย </w:t>
            </w:r>
            <w:r w:rsidRPr="00A6335F">
              <w:rPr>
                <w:color w:val="EE0000"/>
                <w:szCs w:val="28"/>
              </w:rPr>
              <w:t xml:space="preserve">÷ </w:t>
            </w:r>
            <w:r w:rsidRPr="00A6335F">
              <w:rPr>
                <w:color w:val="EE0000"/>
                <w:szCs w:val="28"/>
                <w:cs/>
              </w:rPr>
              <w:t>รายจ่ายรวมของมหาวิทยาลัย)</w:t>
            </w:r>
          </w:p>
          <w:p w14:paraId="53FD079F" w14:textId="51C98639" w:rsidR="002C4196" w:rsidRPr="00A6335F" w:rsidRDefault="002C4196" w:rsidP="002C4196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</w:p>
        </w:tc>
        <w:tc>
          <w:tcPr>
            <w:tcW w:w="1476" w:type="pct"/>
          </w:tcPr>
          <w:p w14:paraId="2D1A457E" w14:textId="2B005DC0" w:rsidR="002C4196" w:rsidRPr="00A6335F" w:rsidRDefault="002C4196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อัตราส่วนไม่น้อยกว่า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1.05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br/>
              <w:t>(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มีส่วนเกินอย่างน้อยร้อยละ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5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ของรายจ่ายรวม</w:t>
            </w:r>
            <w:r w:rsidR="000E5B55"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ของคณะ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)</w:t>
            </w:r>
          </w:p>
        </w:tc>
        <w:tc>
          <w:tcPr>
            <w:tcW w:w="1476" w:type="pct"/>
          </w:tcPr>
          <w:p w14:paraId="1351ED74" w14:textId="51376D1D" w:rsidR="000E5B55" w:rsidRPr="00A6335F" w:rsidRDefault="002C4196" w:rsidP="000E5B55">
            <w:pPr>
              <w:spacing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อัตราส่วนระหว่าง</w:t>
            </w:r>
          </w:p>
          <w:p w14:paraId="0B101446" w14:textId="53A2EA9A" w:rsidR="000E5B55" w:rsidRPr="00A6335F" w:rsidRDefault="002C4196" w:rsidP="000E5B55">
            <w:pPr>
              <w:spacing w:line="240" w:lineRule="auto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1.00 – 1.05</w:t>
            </w:r>
          </w:p>
          <w:p w14:paraId="63E8BE60" w14:textId="0B8E2AC2" w:rsidR="002C4196" w:rsidRPr="00A6335F" w:rsidRDefault="000E5B55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(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อยู่ในระดับคุ้มทุน ต้องเฝ้าระวังและเร่งมาตรการเพิ่มรายได้หรือควบคุมรายจ่าย)</w:t>
            </w:r>
          </w:p>
        </w:tc>
      </w:tr>
    </w:tbl>
    <w:p w14:paraId="3BCCD24F" w14:textId="1549FCA2" w:rsidR="00E026FD" w:rsidRDefault="00E026FD" w:rsidP="00E026FD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5DE4FCC" w14:textId="691C00DD" w:rsidR="00D14AD5" w:rsidRDefault="00D14AD5" w:rsidP="003B47A9">
      <w:pPr>
        <w:pStyle w:val="a9"/>
        <w:numPr>
          <w:ilvl w:val="0"/>
          <w:numId w:val="148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B47A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เกณฑ์การประเมินระดับความเสี่ยง</w:t>
      </w:r>
    </w:p>
    <w:p w14:paraId="4E341CEE" w14:textId="7E246D86" w:rsidR="003436AC" w:rsidRDefault="003436AC" w:rsidP="003436A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กรณีย่อยที่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R1)  </w:t>
      </w:r>
    </w:p>
    <w:p w14:paraId="33D52488" w14:textId="6E83978E" w:rsidR="003436AC" w:rsidRDefault="000F0068" w:rsidP="003436AC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  <w:r w:rsidRPr="000F0068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L1: </w:t>
      </w:r>
      <w:r w:rsidR="000E5B55" w:rsidRPr="000F0068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การคาดการณ์เชิงยุทธศาสตร์และการประเมินแนวโน้มรายได้</w:t>
      </w:r>
      <w:r w:rsidRPr="000F0068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</w:p>
    <w:p w14:paraId="13928E2D" w14:textId="642F296C" w:rsidR="005F6D59" w:rsidRPr="000F0068" w:rsidRDefault="005F6D59" w:rsidP="003436AC">
      <w:pPr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28"/>
          <w:cs/>
        </w:rPr>
      </w:pPr>
      <w:r>
        <w:rPr>
          <w:rFonts w:ascii="TH SarabunPSK" w:hAnsi="TH SarabunPSK" w:cs="TH SarabunPSK"/>
          <w:b/>
          <w:bCs/>
          <w:color w:val="000000"/>
          <w:sz w:val="28"/>
        </w:rPr>
        <w:t xml:space="preserve">I1: </w:t>
      </w:r>
      <w:r w:rsidR="0011628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5F6D5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ร้อยละความสำเร็จของ</w:t>
      </w:r>
      <w:r w:rsidR="003436A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11ฃ</w:t>
      </w:r>
      <w:r w:rsidRPr="005F6D5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รายได้เมื่อเทียบกับเป้าหมาย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988"/>
        <w:gridCol w:w="4819"/>
        <w:gridCol w:w="3210"/>
      </w:tblGrid>
      <w:tr w:rsidR="000E5B55" w:rsidRPr="000F0068" w14:paraId="581D35FC" w14:textId="77777777" w:rsidTr="00A6335F">
        <w:trPr>
          <w:tblHeader/>
        </w:trPr>
        <w:tc>
          <w:tcPr>
            <w:tcW w:w="548" w:type="pct"/>
          </w:tcPr>
          <w:p w14:paraId="3E3BBA66" w14:textId="795A726B" w:rsidR="000E5B55" w:rsidRPr="000F0068" w:rsidRDefault="000E5B55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F00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</w:t>
            </w:r>
          </w:p>
        </w:tc>
        <w:tc>
          <w:tcPr>
            <w:tcW w:w="2672" w:type="pct"/>
          </w:tcPr>
          <w:p w14:paraId="146AAF34" w14:textId="1DE46A3C" w:rsidR="000E5B55" w:rsidRPr="000F0068" w:rsidRDefault="000E5B55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F00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โอกาส</w:t>
            </w:r>
            <w:r w:rsidRPr="000F00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(L1)</w:t>
            </w:r>
          </w:p>
        </w:tc>
        <w:tc>
          <w:tcPr>
            <w:tcW w:w="1780" w:type="pct"/>
          </w:tcPr>
          <w:p w14:paraId="5BD010B1" w14:textId="16543216" w:rsidR="000E5B55" w:rsidRPr="000F0068" w:rsidRDefault="000E5B55" w:rsidP="000E5B5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F00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 (</w:t>
            </w:r>
            <w:r w:rsidRPr="000F006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I1)</w:t>
            </w:r>
          </w:p>
        </w:tc>
      </w:tr>
      <w:tr w:rsidR="00D63D51" w:rsidRPr="000F0068" w14:paraId="4A0B96BE" w14:textId="77777777" w:rsidTr="00D63D51">
        <w:tc>
          <w:tcPr>
            <w:tcW w:w="548" w:type="pct"/>
          </w:tcPr>
          <w:p w14:paraId="5E3AB7B7" w14:textId="77777777" w:rsidR="00D63D51" w:rsidRPr="00A6335F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5</w:t>
            </w:r>
          </w:p>
          <w:p w14:paraId="73ACDCA9" w14:textId="0DA6DFBE" w:rsidR="00D63D51" w:rsidRPr="00A6335F" w:rsidRDefault="00D63D51" w:rsidP="00D63D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(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สูงมาก)</w:t>
            </w:r>
          </w:p>
        </w:tc>
        <w:tc>
          <w:tcPr>
            <w:tcW w:w="2672" w:type="pct"/>
          </w:tcPr>
          <w:p w14:paraId="499A309C" w14:textId="6584D1FB" w:rsidR="00D63D51" w:rsidRPr="00A6335F" w:rsidRDefault="00D63D51" w:rsidP="00D63D51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u w:val="single"/>
                <w:cs/>
              </w:rPr>
              <w:t>ไม่มีการคาดการณ์สถานการณ์รายได้ในอนาคตอย่างเป็นระบบ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 ไม่สามารถประเมินแนวโน้มของรายได้จากนักศึกษา บริการวิชาการ พื้นที่เช่า และงบประมาณภาครัฐได้อย่างเพียงพอ</w:t>
            </w:r>
          </w:p>
        </w:tc>
        <w:tc>
          <w:tcPr>
            <w:tcW w:w="1780" w:type="pct"/>
          </w:tcPr>
          <w:p w14:paraId="1539CA9D" w14:textId="330BF0E4" w:rsidR="00D63D51" w:rsidRPr="00A6335F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ความ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สำเร็จ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ของรายได้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น้อยกว่า</w:t>
            </w:r>
          </w:p>
          <w:p w14:paraId="3B47BC32" w14:textId="651E92FE" w:rsidR="00D63D51" w:rsidRPr="00A6335F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ร้อยละ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50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ของเป้าหมายที่กำหนด</w:t>
            </w:r>
          </w:p>
        </w:tc>
      </w:tr>
      <w:tr w:rsidR="00D63D51" w:rsidRPr="000F0068" w14:paraId="463CB234" w14:textId="77777777" w:rsidTr="00D63D51">
        <w:tc>
          <w:tcPr>
            <w:tcW w:w="548" w:type="pct"/>
          </w:tcPr>
          <w:p w14:paraId="55E243F4" w14:textId="77777777" w:rsidR="00D63D51" w:rsidRPr="00A6335F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4</w:t>
            </w:r>
          </w:p>
          <w:p w14:paraId="39A2C2ED" w14:textId="6455CFDD" w:rsidR="00D63D51" w:rsidRPr="00A6335F" w:rsidRDefault="00D63D51" w:rsidP="00D63D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(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สูง)</w:t>
            </w:r>
          </w:p>
        </w:tc>
        <w:tc>
          <w:tcPr>
            <w:tcW w:w="2672" w:type="pct"/>
          </w:tcPr>
          <w:p w14:paraId="341CD803" w14:textId="75119B21" w:rsidR="00D63D51" w:rsidRPr="00A6335F" w:rsidRDefault="00D63D51" w:rsidP="00DF0F62">
            <w:pPr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u w:val="single"/>
                <w:cs/>
              </w:rPr>
              <w:t>มีการคาดการณ์รายได้ในอนาคต แต่ข้อมูลยังไม่ครอบคลุมทุกมิติ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 หรือทบทวนสมมติฐานเมื่อมีเหตุการณ์สำคัญ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ปีละ 1 ครั้ง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 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u w:val="single"/>
                <w:cs/>
              </w:rPr>
              <w:t>โดยไม่มีการทบทวนระหว่างป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u w:val="single"/>
                <w:cs/>
              </w:rPr>
              <w:t>ี</w:t>
            </w:r>
          </w:p>
        </w:tc>
        <w:tc>
          <w:tcPr>
            <w:tcW w:w="1780" w:type="pct"/>
          </w:tcPr>
          <w:p w14:paraId="74389E9D" w14:textId="377396D7" w:rsidR="00D63D51" w:rsidRPr="00A6335F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ความ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สำเร็จ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ของรายได้ระหว่าง</w:t>
            </w:r>
          </w:p>
          <w:p w14:paraId="5197C3BB" w14:textId="3B29D868" w:rsidR="00D63D51" w:rsidRPr="00A6335F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ร้อยละ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50–60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ของเป้าหมายที่กำหนด</w:t>
            </w:r>
          </w:p>
        </w:tc>
      </w:tr>
      <w:tr w:rsidR="00D63D51" w:rsidRPr="000F0068" w14:paraId="1CDBDED7" w14:textId="77777777" w:rsidTr="00D63D51">
        <w:tc>
          <w:tcPr>
            <w:tcW w:w="548" w:type="pct"/>
          </w:tcPr>
          <w:p w14:paraId="4B144486" w14:textId="77777777" w:rsidR="00D63D51" w:rsidRPr="00A6335F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3</w:t>
            </w:r>
          </w:p>
          <w:p w14:paraId="218D437E" w14:textId="6395B074" w:rsidR="00D63D51" w:rsidRPr="00A6335F" w:rsidRDefault="00D63D51" w:rsidP="00D63D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(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ปานกลาง)</w:t>
            </w:r>
          </w:p>
        </w:tc>
        <w:tc>
          <w:tcPr>
            <w:tcW w:w="2672" w:type="pct"/>
          </w:tcPr>
          <w:p w14:paraId="43630101" w14:textId="0A2FA524" w:rsidR="00D63D51" w:rsidRPr="00A6335F" w:rsidRDefault="00D63D51" w:rsidP="00D63D51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u w:val="single"/>
                <w:cs/>
              </w:rPr>
              <w:t>มีการคาดการณ์รายได้เชิงยุทธศาสตร์ แต่ข้อมูลบางส่วนยังไม่ครบถ้วน และการประเมินแนวโน้มรายได้ยังไม่ต่อเนื่อง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 จัดทำประมาณการรายได้อย่าน้อยปีละ 1 ครั้ง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 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พร้อมทบทวนสมมติฐานเมื่อมีเหตุการณ์สำคั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ญ</w:t>
            </w:r>
          </w:p>
        </w:tc>
        <w:tc>
          <w:tcPr>
            <w:tcW w:w="1780" w:type="pct"/>
          </w:tcPr>
          <w:p w14:paraId="4F5FF2DC" w14:textId="77777777" w:rsidR="00D63D51" w:rsidRPr="00A6335F" w:rsidRDefault="00D63D51" w:rsidP="00D63D51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ความ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สำเร็จ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ของรายได้ระหว่าง</w:t>
            </w:r>
          </w:p>
          <w:p w14:paraId="2EF4BD09" w14:textId="77777777" w:rsidR="00D63D51" w:rsidRPr="00A6335F" w:rsidRDefault="00D63D51" w:rsidP="00D63D51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ร้อยละ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60–70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ของเป้าหมายที่กำหนด</w:t>
            </w:r>
          </w:p>
          <w:p w14:paraId="482A6119" w14:textId="17D7DBC5" w:rsidR="00D63D51" w:rsidRPr="00A6335F" w:rsidRDefault="00D63D51" w:rsidP="00D63D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</w:p>
        </w:tc>
      </w:tr>
      <w:tr w:rsidR="00D63D51" w:rsidRPr="000F0068" w14:paraId="6A57D5EA" w14:textId="77777777" w:rsidTr="00D63D51">
        <w:tc>
          <w:tcPr>
            <w:tcW w:w="548" w:type="pct"/>
          </w:tcPr>
          <w:p w14:paraId="009F41F0" w14:textId="77777777" w:rsidR="00D63D51" w:rsidRPr="00A6335F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lastRenderedPageBreak/>
              <w:t>2</w:t>
            </w:r>
          </w:p>
          <w:p w14:paraId="62B53718" w14:textId="78B147F6" w:rsidR="00D63D51" w:rsidRPr="00A6335F" w:rsidRDefault="00D63D51" w:rsidP="00D63D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(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น้อย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)</w:t>
            </w:r>
          </w:p>
        </w:tc>
        <w:tc>
          <w:tcPr>
            <w:tcW w:w="2672" w:type="pct"/>
          </w:tcPr>
          <w:p w14:paraId="5D0F8DED" w14:textId="2C30DD8C" w:rsidR="00D63D51" w:rsidRPr="00A6335F" w:rsidRDefault="00D63D51" w:rsidP="00D63D51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u w:val="single"/>
                <w:cs/>
              </w:rPr>
              <w:t>มีการคาดการณ์รายได้เชิงยุทธศาสตร์ค่อนข้างครบถ้วน และมีแผนรองรับแนวโน้มรายได้ในอนาคต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 แต่การดำเนินการและการทบทวนบางส่วนยังไม่เข้มแข็งหรือไม่ครอบคลุมทุกกรณี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 xml:space="preserve">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จัดทำประมาณการอย่างน้อยปีละ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1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ครั้ง และมีการทบทวนหรือปรับปรุงอย่างน้อยปีละ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2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ครั้ง</w:t>
            </w:r>
          </w:p>
        </w:tc>
        <w:tc>
          <w:tcPr>
            <w:tcW w:w="1780" w:type="pct"/>
          </w:tcPr>
          <w:p w14:paraId="1AC4F820" w14:textId="77777777" w:rsidR="00D63D51" w:rsidRPr="00A6335F" w:rsidRDefault="00D63D51" w:rsidP="00D63D51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ความ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สำเร็จ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ของรายได้ระหว่าง</w:t>
            </w:r>
          </w:p>
          <w:p w14:paraId="38C4A0C1" w14:textId="116F9202" w:rsidR="00D63D51" w:rsidRPr="00A6335F" w:rsidRDefault="00D63D51" w:rsidP="00D63D51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ร้อยละ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70–80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ของเป้าหมายที่กำหนด</w:t>
            </w:r>
          </w:p>
        </w:tc>
      </w:tr>
      <w:tr w:rsidR="00D63D51" w:rsidRPr="000F0068" w14:paraId="0B240549" w14:textId="77777777" w:rsidTr="00D63D51">
        <w:tc>
          <w:tcPr>
            <w:tcW w:w="548" w:type="pct"/>
          </w:tcPr>
          <w:p w14:paraId="442295EA" w14:textId="77777777" w:rsidR="00D63D51" w:rsidRPr="00A6335F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1</w:t>
            </w:r>
          </w:p>
          <w:p w14:paraId="3A00A104" w14:textId="7DDE0673" w:rsidR="00D63D51" w:rsidRPr="00A6335F" w:rsidRDefault="00D63D51" w:rsidP="00D63D5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(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น้อย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มาก)</w:t>
            </w:r>
          </w:p>
        </w:tc>
        <w:tc>
          <w:tcPr>
            <w:tcW w:w="2672" w:type="pct"/>
          </w:tcPr>
          <w:p w14:paraId="452DF829" w14:textId="0E531FC1" w:rsidR="00D63D51" w:rsidRPr="00A6335F" w:rsidRDefault="00D63D51" w:rsidP="00D63D51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u w:val="single"/>
                <w:cs/>
              </w:rPr>
              <w:t xml:space="preserve">มีระบบคาดการณ์รายได้ล่วงหน้าเชิงยุทธศาสตร์ที่ครอบคลุมและชัดเจน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ครอบคลุมรายได้จากนักศึกษา บริการวิชาการ พื้นที่เช่า งบประมาณ และแหล่งรายได้อื่น พร้อมแผนรองรับ โดยจัดทำและทบทวนประมาณการรายได้อย่างสม่ำเสมออย่างน้อยรายไตรมาส ติดตามตัวชี้วัดรายได้อย่างน้อยรายเดือน และรายงานผลต่อผู้บริหารอย่างน้อยรายไตรมาส</w:t>
            </w:r>
          </w:p>
        </w:tc>
        <w:tc>
          <w:tcPr>
            <w:tcW w:w="1780" w:type="pct"/>
          </w:tcPr>
          <w:p w14:paraId="5CB241B9" w14:textId="77777777" w:rsidR="00D63D51" w:rsidRPr="00A6335F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ความ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สำเร็จ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ของรายได้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มากกว่า</w:t>
            </w:r>
          </w:p>
          <w:p w14:paraId="0F961158" w14:textId="3D903152" w:rsidR="00D63D51" w:rsidRPr="00A6335F" w:rsidRDefault="00D63D5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ร้อยละ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80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ของเป้าหมายที่กำหนด</w:t>
            </w:r>
          </w:p>
        </w:tc>
      </w:tr>
    </w:tbl>
    <w:p w14:paraId="3C3EE0CC" w14:textId="11716DD6" w:rsidR="003436AC" w:rsidRDefault="003436AC" w:rsidP="003436A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436F8CB" w14:textId="3239CCF7" w:rsidR="003436AC" w:rsidRPr="003436AC" w:rsidRDefault="003436AC" w:rsidP="003436A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กรณีย่อยที่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R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)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6CEEEC55" w14:textId="24ED71E4" w:rsidR="003436AC" w:rsidRDefault="000F0068" w:rsidP="003436AC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  <w:r w:rsidRPr="005F6D59">
        <w:rPr>
          <w:rFonts w:ascii="TH SarabunPSK" w:hAnsi="TH SarabunPSK" w:cs="TH SarabunPSK"/>
          <w:b/>
          <w:bCs/>
          <w:color w:val="000000"/>
          <w:sz w:val="28"/>
        </w:rPr>
        <w:t xml:space="preserve">L2: </w:t>
      </w:r>
      <w:r w:rsidR="000E5B55" w:rsidRPr="005F6D5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การทบทวนความยั่งยืนของรายได้และการปรับปรุงกลยุทธ์ด้านการเงิน</w:t>
      </w:r>
      <w:r w:rsidR="003436AC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</w:p>
    <w:p w14:paraId="341DFFCE" w14:textId="7CC540C1" w:rsidR="005F6D59" w:rsidRPr="005F6D59" w:rsidRDefault="005F6D59" w:rsidP="003436AC">
      <w:pPr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28"/>
          <w:cs/>
        </w:rPr>
      </w:pPr>
      <w:r w:rsidRPr="005F6D59">
        <w:rPr>
          <w:rFonts w:ascii="TH SarabunPSK" w:hAnsi="TH SarabunPSK" w:cs="TH SarabunPSK"/>
          <w:b/>
          <w:bCs/>
          <w:color w:val="000000"/>
          <w:sz w:val="28"/>
        </w:rPr>
        <w:t xml:space="preserve">I2: </w:t>
      </w:r>
      <w:r w:rsidRPr="005F6D5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ร้อยละความสำเร็จของรายได้เมื่อเทียบกับเป้าหมาย</w:t>
      </w:r>
      <w:r w:rsidR="003436AC">
        <w:rPr>
          <w:rFonts w:ascii="TH SarabunPSK" w:hAnsi="TH SarabunPSK" w:cs="TH SarabunPSK" w:hint="cs"/>
          <w:b/>
          <w:bCs/>
          <w:color w:val="000000"/>
          <w:sz w:val="28"/>
          <w:cs/>
        </w:rPr>
        <w:t>)</w:t>
      </w:r>
    </w:p>
    <w:tbl>
      <w:tblPr>
        <w:tblStyle w:val="af5"/>
        <w:tblW w:w="5001" w:type="pct"/>
        <w:tblLook w:val="04A0" w:firstRow="1" w:lastRow="0" w:firstColumn="1" w:lastColumn="0" w:noHBand="0" w:noVBand="1"/>
      </w:tblPr>
      <w:tblGrid>
        <w:gridCol w:w="988"/>
        <w:gridCol w:w="4818"/>
        <w:gridCol w:w="3213"/>
      </w:tblGrid>
      <w:tr w:rsidR="007202C1" w:rsidRPr="00E15572" w14:paraId="75A79735" w14:textId="77777777" w:rsidTr="00D63D51">
        <w:tc>
          <w:tcPr>
            <w:tcW w:w="548" w:type="pct"/>
          </w:tcPr>
          <w:p w14:paraId="1B7A89C2" w14:textId="77777777" w:rsidR="007202C1" w:rsidRPr="00E15572" w:rsidRDefault="007202C1" w:rsidP="007202C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1557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</w:t>
            </w:r>
          </w:p>
        </w:tc>
        <w:tc>
          <w:tcPr>
            <w:tcW w:w="2671" w:type="pct"/>
          </w:tcPr>
          <w:p w14:paraId="47039824" w14:textId="424E0506" w:rsidR="007202C1" w:rsidRPr="00E15572" w:rsidRDefault="007202C1" w:rsidP="007202C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1557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โอกาส</w:t>
            </w:r>
            <w:r w:rsidRPr="00E1557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(L2)</w:t>
            </w:r>
          </w:p>
        </w:tc>
        <w:tc>
          <w:tcPr>
            <w:tcW w:w="1781" w:type="pct"/>
          </w:tcPr>
          <w:p w14:paraId="7B2D929E" w14:textId="5D512D51" w:rsidR="007202C1" w:rsidRPr="00E15572" w:rsidRDefault="007202C1" w:rsidP="007202C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1557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 (</w:t>
            </w:r>
            <w:r w:rsidRPr="00E1557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  <w:r w:rsidR="005F6D5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E1557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)</w:t>
            </w:r>
          </w:p>
        </w:tc>
      </w:tr>
      <w:tr w:rsidR="007202C1" w:rsidRPr="00E15572" w14:paraId="7E3C1E91" w14:textId="77777777" w:rsidTr="00D63D51">
        <w:tc>
          <w:tcPr>
            <w:tcW w:w="548" w:type="pct"/>
          </w:tcPr>
          <w:p w14:paraId="3960B621" w14:textId="77777777" w:rsidR="007202C1" w:rsidRPr="00A6335F" w:rsidRDefault="007202C1" w:rsidP="007202C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5</w:t>
            </w:r>
          </w:p>
          <w:p w14:paraId="4E37DCCA" w14:textId="77777777" w:rsidR="007202C1" w:rsidRPr="00A6335F" w:rsidRDefault="007202C1" w:rsidP="007202C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(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สูงมาก)</w:t>
            </w:r>
          </w:p>
        </w:tc>
        <w:tc>
          <w:tcPr>
            <w:tcW w:w="2671" w:type="pct"/>
          </w:tcPr>
          <w:p w14:paraId="2CACAF5A" w14:textId="76CFB025" w:rsidR="007202C1" w:rsidRPr="00A6335F" w:rsidRDefault="007202C1" w:rsidP="007202C1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ไม่มีการทบทวนความยั่งยืนของแหล่งรายได้ และ</w:t>
            </w:r>
            <w:r w:rsidR="00D83543"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br/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ไม่มีมาตรการปรับปรุงหรือรองรับสถานการณ์รายได้ที่ลดลง</w:t>
            </w:r>
          </w:p>
        </w:tc>
        <w:tc>
          <w:tcPr>
            <w:tcW w:w="1781" w:type="pct"/>
          </w:tcPr>
          <w:p w14:paraId="0074BE43" w14:textId="77777777" w:rsidR="00D63D51" w:rsidRPr="00A6335F" w:rsidRDefault="00EB3F6B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ความ</w:t>
            </w:r>
            <w:r w:rsidR="007202C1"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สำเร็จ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ของรายได้</w:t>
            </w:r>
            <w:r w:rsidR="007202C1"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น้อยกว่า</w:t>
            </w:r>
          </w:p>
          <w:p w14:paraId="32EFDE1B" w14:textId="47862636" w:rsidR="007202C1" w:rsidRPr="00A6335F" w:rsidRDefault="007202C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ร้อยละ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50</w:t>
            </w:r>
            <w:r w:rsidR="00D63D51"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ของเป้าหมายที่กำหนด</w:t>
            </w:r>
          </w:p>
        </w:tc>
      </w:tr>
      <w:tr w:rsidR="007202C1" w:rsidRPr="00E15572" w14:paraId="5BE59C6D" w14:textId="77777777" w:rsidTr="00D63D51">
        <w:tc>
          <w:tcPr>
            <w:tcW w:w="548" w:type="pct"/>
          </w:tcPr>
          <w:p w14:paraId="636DA49F" w14:textId="77777777" w:rsidR="007202C1" w:rsidRPr="00A6335F" w:rsidRDefault="007202C1" w:rsidP="007202C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4</w:t>
            </w:r>
          </w:p>
          <w:p w14:paraId="00516306" w14:textId="77777777" w:rsidR="007202C1" w:rsidRPr="00A6335F" w:rsidRDefault="007202C1" w:rsidP="007202C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(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สูง)</w:t>
            </w:r>
          </w:p>
        </w:tc>
        <w:tc>
          <w:tcPr>
            <w:tcW w:w="2671" w:type="pct"/>
          </w:tcPr>
          <w:p w14:paraId="4D5088F0" w14:textId="63A2DC19" w:rsidR="007202C1" w:rsidRPr="00A6335F" w:rsidRDefault="007202C1" w:rsidP="00D83543">
            <w:pPr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ทบทวนรายได้เป็นบางส่วน แต่ยังไม่มีการปรับปรุงกลยุทธ์ด้านการเงินที่เป็นรูปธรรม หรือยังไม่ครอบคลุมทุกหน่วยงาน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ทบทวนภาพรวมรายได้เป็นครั้งคราวและไม่มีกำหนดการทบทวนชัดเจ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น</w:t>
            </w:r>
          </w:p>
        </w:tc>
        <w:tc>
          <w:tcPr>
            <w:tcW w:w="1781" w:type="pct"/>
          </w:tcPr>
          <w:p w14:paraId="79BFA0BB" w14:textId="77777777" w:rsidR="00D63D51" w:rsidRPr="00A6335F" w:rsidRDefault="00EB3F6B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ความ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สำเร็จ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ของรายได้</w:t>
            </w:r>
            <w:r w:rsidR="007202C1"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ระหว่าง</w:t>
            </w:r>
          </w:p>
          <w:p w14:paraId="29A1CF8E" w14:textId="211690D9" w:rsidR="007202C1" w:rsidRPr="00A6335F" w:rsidRDefault="007202C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ร้อยละ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50–60</w:t>
            </w:r>
            <w:r w:rsidR="00D63D51"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ของเป้าหมายที่กำหนด</w:t>
            </w:r>
          </w:p>
        </w:tc>
      </w:tr>
      <w:tr w:rsidR="007202C1" w:rsidRPr="000E5B55" w14:paraId="2C60E64E" w14:textId="77777777" w:rsidTr="00D63D51">
        <w:tc>
          <w:tcPr>
            <w:tcW w:w="548" w:type="pct"/>
          </w:tcPr>
          <w:p w14:paraId="12AEF12B" w14:textId="77777777" w:rsidR="007202C1" w:rsidRPr="00A6335F" w:rsidRDefault="007202C1" w:rsidP="007202C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3</w:t>
            </w:r>
          </w:p>
          <w:p w14:paraId="5C66C3DA" w14:textId="77777777" w:rsidR="007202C1" w:rsidRPr="00A6335F" w:rsidRDefault="007202C1" w:rsidP="007202C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(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ปานกลาง)</w:t>
            </w:r>
          </w:p>
        </w:tc>
        <w:tc>
          <w:tcPr>
            <w:tcW w:w="2671" w:type="pct"/>
          </w:tcPr>
          <w:p w14:paraId="6D747C1A" w14:textId="7D2071F9" w:rsidR="007202C1" w:rsidRPr="00A6335F" w:rsidRDefault="00D83543" w:rsidP="00D83543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ทบทวนความยั่งยืนของรายได้และกลยุทธ์ด้านการเงิน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A6335F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 xml:space="preserve">อย่างน้อยปีละ </w:t>
            </w:r>
            <w:r w:rsidRPr="00A6335F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 xml:space="preserve">1 </w:t>
            </w:r>
            <w:r w:rsidRPr="00A6335F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ครั้ง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หรือเมื่อจัดทำแผนงบประมาณประจำปี แต่การทบทวนยังไม่ครอบคลุมทุกแหล่งรายได้ และการนำผลทบทวนไปใช้ยัง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br/>
              <w:t>ไม่ทั่วถึงทุกหน่วยงาน</w:t>
            </w:r>
          </w:p>
        </w:tc>
        <w:tc>
          <w:tcPr>
            <w:tcW w:w="1781" w:type="pct"/>
          </w:tcPr>
          <w:p w14:paraId="1FBCA27D" w14:textId="77777777" w:rsidR="00D63D51" w:rsidRPr="00A6335F" w:rsidRDefault="00EB3F6B" w:rsidP="00D63D51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ความ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สำเร็จ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ของรายได้</w:t>
            </w:r>
            <w:r w:rsidR="007202C1"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ระหว่าง</w:t>
            </w:r>
          </w:p>
          <w:p w14:paraId="6BB1606F" w14:textId="19B3BF3F" w:rsidR="007202C1" w:rsidRPr="00A6335F" w:rsidRDefault="007202C1" w:rsidP="00D63D51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ร้อยละ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60–70</w:t>
            </w:r>
            <w:r w:rsidR="00D63D51"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ของเป้าหมายที่กำหนด</w:t>
            </w:r>
          </w:p>
          <w:p w14:paraId="1D2B1813" w14:textId="77777777" w:rsidR="007202C1" w:rsidRPr="00A6335F" w:rsidRDefault="007202C1" w:rsidP="00E1557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</w:p>
        </w:tc>
      </w:tr>
      <w:tr w:rsidR="007202C1" w:rsidRPr="000E5B55" w14:paraId="3C50D265" w14:textId="77777777" w:rsidTr="00D63D51">
        <w:tc>
          <w:tcPr>
            <w:tcW w:w="548" w:type="pct"/>
          </w:tcPr>
          <w:p w14:paraId="1C6FF6C2" w14:textId="77777777" w:rsidR="007202C1" w:rsidRPr="00A6335F" w:rsidRDefault="007202C1" w:rsidP="007202C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2</w:t>
            </w:r>
          </w:p>
          <w:p w14:paraId="0E5A41B4" w14:textId="77777777" w:rsidR="007202C1" w:rsidRPr="00A6335F" w:rsidRDefault="007202C1" w:rsidP="007202C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(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น้อย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)</w:t>
            </w:r>
          </w:p>
        </w:tc>
        <w:tc>
          <w:tcPr>
            <w:tcW w:w="2671" w:type="pct"/>
          </w:tcPr>
          <w:p w14:paraId="4164220C" w14:textId="018F1837" w:rsidR="007202C1" w:rsidRPr="00A6335F" w:rsidRDefault="00D83543" w:rsidP="00D83543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ทบทวนความยั่งยืนของรายได้และปรับปรุงกลยุทธ์ด้านการเงิน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A6335F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 xml:space="preserve">อย่างน้อยปีละ </w:t>
            </w:r>
            <w:r w:rsidRPr="00A6335F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 xml:space="preserve">2 </w:t>
            </w:r>
            <w:r w:rsidRPr="00A6335F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ครั้ง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ครอบคลุมแหล่งรายได้หลัก และนำผลทบทวนไปเชื่อมโยงกับการจัดทำงบประมาณและแผนฟื้นฟูรายได้</w:t>
            </w:r>
          </w:p>
        </w:tc>
        <w:tc>
          <w:tcPr>
            <w:tcW w:w="1781" w:type="pct"/>
          </w:tcPr>
          <w:p w14:paraId="44FCC13A" w14:textId="77777777" w:rsidR="00D63D51" w:rsidRPr="00A6335F" w:rsidRDefault="00EB3F6B" w:rsidP="00D63D51">
            <w:pPr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ความ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สำเร็จ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ของรายได้</w:t>
            </w:r>
            <w:r w:rsidR="007202C1"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ระหว่าง</w:t>
            </w:r>
          </w:p>
          <w:p w14:paraId="61AC05A7" w14:textId="181050E9" w:rsidR="007202C1" w:rsidRPr="00A6335F" w:rsidRDefault="007202C1" w:rsidP="00D63D51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ร้อยละ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70–80</w:t>
            </w:r>
            <w:r w:rsidR="00D63D51"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ของเป้าหมายที่กำหนด</w:t>
            </w:r>
          </w:p>
        </w:tc>
      </w:tr>
      <w:tr w:rsidR="007202C1" w:rsidRPr="000E5B55" w14:paraId="27D2DB8E" w14:textId="77777777" w:rsidTr="00D63D51">
        <w:tc>
          <w:tcPr>
            <w:tcW w:w="548" w:type="pct"/>
          </w:tcPr>
          <w:p w14:paraId="03A42FC2" w14:textId="77777777" w:rsidR="007202C1" w:rsidRPr="00A6335F" w:rsidRDefault="007202C1" w:rsidP="007202C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1</w:t>
            </w:r>
          </w:p>
          <w:p w14:paraId="4CC8C865" w14:textId="77777777" w:rsidR="007202C1" w:rsidRPr="00A6335F" w:rsidRDefault="007202C1" w:rsidP="007202C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(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น้อย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มาก)</w:t>
            </w:r>
          </w:p>
        </w:tc>
        <w:tc>
          <w:tcPr>
            <w:tcW w:w="2671" w:type="pct"/>
          </w:tcPr>
          <w:p w14:paraId="4DBC96E5" w14:textId="2B4BBA83" w:rsidR="007202C1" w:rsidRPr="00A6335F" w:rsidRDefault="00D83543" w:rsidP="00D83543">
            <w:pPr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ทบทวนความยั่งยืนของรายได้และปรับปรุงยุทธศาสตร์สร้างรายได้อย่างต่อเนื่อง ครอบคลุมทุกแหล่งรายได้และทุกหน่วยงาน มีมาตรการรองรับกรณีรายได้ลดลงอย่างเป็นระบบ โดยทบทวนอย่างน้อยรายไตรมาส และทบทวนเชิงลึกปีละ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1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ครั้ง เพื่อนำไปปรับกลยุทธ์ด้านการเงินและโครงสร้างรายได้ของคณะ</w:t>
            </w:r>
          </w:p>
        </w:tc>
        <w:tc>
          <w:tcPr>
            <w:tcW w:w="1781" w:type="pct"/>
          </w:tcPr>
          <w:p w14:paraId="690AA055" w14:textId="77777777" w:rsidR="00D63D51" w:rsidRPr="00A6335F" w:rsidRDefault="00EB3F6B" w:rsidP="00E15572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ความ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สำเร็จ</w:t>
            </w: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ของรายได้</w:t>
            </w:r>
            <w:r w:rsidR="007202C1"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มากกว่า</w:t>
            </w:r>
          </w:p>
          <w:p w14:paraId="06084A2E" w14:textId="310ED840" w:rsidR="007202C1" w:rsidRPr="00A6335F" w:rsidRDefault="007202C1" w:rsidP="00D63D51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ร้อยละ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80</w:t>
            </w:r>
            <w:r w:rsidR="00D63D51"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="00E15572"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ของเป้าหมายที่กำหนด</w:t>
            </w:r>
          </w:p>
        </w:tc>
      </w:tr>
    </w:tbl>
    <w:p w14:paraId="5E5EBF4C" w14:textId="48466E5B" w:rsidR="0023403F" w:rsidRDefault="0023403F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4A106B7F" w14:textId="5672C2D9" w:rsidR="0023403F" w:rsidRDefault="0023403F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</w:p>
    <w:p w14:paraId="5637D4AA" w14:textId="0FF4235A" w:rsidR="00D14AD5" w:rsidRPr="003B47A9" w:rsidRDefault="00D14AD5" w:rsidP="003B47A9">
      <w:pPr>
        <w:pStyle w:val="a9"/>
        <w:numPr>
          <w:ilvl w:val="0"/>
          <w:numId w:val="148"/>
        </w:num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B47A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ข้อมูลประเมินระดับความเสี่ยง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194"/>
      </w:tblGrid>
      <w:tr w:rsidR="00D14AD5" w:rsidRPr="005F6D59" w14:paraId="493923B3" w14:textId="77777777" w:rsidTr="00D92FBD">
        <w:trPr>
          <w:trHeight w:val="411"/>
        </w:trPr>
        <w:tc>
          <w:tcPr>
            <w:tcW w:w="3823" w:type="dxa"/>
          </w:tcPr>
          <w:p w14:paraId="36E66BAE" w14:textId="77777777" w:rsidR="00D14AD5" w:rsidRPr="005F6D59" w:rsidRDefault="00D14AD5" w:rsidP="006C74C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F6D59">
              <w:rPr>
                <w:rFonts w:ascii="THSarabunPSK-Bold" w:cs="THSarabunPSK-Bold" w:hint="cs"/>
                <w:b/>
                <w:bCs/>
                <w:sz w:val="28"/>
                <w:cs/>
              </w:rPr>
              <w:t>ข้อมูลประเมินระดับความเสี่ยง</w:t>
            </w:r>
          </w:p>
        </w:tc>
        <w:tc>
          <w:tcPr>
            <w:tcW w:w="5194" w:type="dxa"/>
          </w:tcPr>
          <w:p w14:paraId="40BDB798" w14:textId="77777777" w:rsidR="00D14AD5" w:rsidRPr="005F6D59" w:rsidRDefault="00D14AD5" w:rsidP="006C74C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F6D59">
              <w:rPr>
                <w:rFonts w:ascii="THSarabunPSK-Bold" w:cs="THSarabunPSK-Bold" w:hint="cs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DC303E" w:rsidRPr="005F6D59" w14:paraId="06FB7494" w14:textId="77777777" w:rsidTr="00D92FBD">
        <w:tc>
          <w:tcPr>
            <w:tcW w:w="3823" w:type="dxa"/>
          </w:tcPr>
          <w:p w14:paraId="301B6FEE" w14:textId="025F2ADC" w:rsidR="00DC303E" w:rsidRPr="00A6335F" w:rsidRDefault="00DC303E" w:rsidP="00DC303E">
            <w:pPr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L1: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การคาดการณ์เชิงยุทธศาสตร์และการประเมินแนวโน้มรายได้</w:t>
            </w:r>
          </w:p>
        </w:tc>
        <w:tc>
          <w:tcPr>
            <w:tcW w:w="5194" w:type="dxa"/>
          </w:tcPr>
          <w:p w14:paraId="009F9971" w14:textId="77777777" w:rsidR="007202C1" w:rsidRPr="00A6335F" w:rsidRDefault="00DC303E" w:rsidP="007202C1">
            <w:pPr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แนวโน้มจำนวนนักศึกษาลดลงอย่างต่อเนื่อง การแข่งขันสูงขึ้น และรายได้ไม่แน่นอน ส่งผลให้มีโอกาสสูงที่รายได้รวมจะต่ำกว่าเป้าหมาย</w:t>
            </w:r>
            <w:r w:rsidR="007202C1"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</w:p>
          <w:p w14:paraId="52C503C1" w14:textId="0952025F" w:rsidR="007202C1" w:rsidRPr="00A6335F" w:rsidRDefault="007202C1" w:rsidP="005F6D59">
            <w:pPr>
              <w:pStyle w:val="a9"/>
              <w:numPr>
                <w:ilvl w:val="0"/>
                <w:numId w:val="155"/>
              </w:numPr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สนับสนุนการขับเคลื่อนและการติดตามตัวชี้วัดความเสี่ยง ได้แก่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KRI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3 จำนวนผู้สมัครเข้าศึกษาใหม่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KRI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2 รายได้จากนักศึกษา และ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KRI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1 อัตราการเปลี่ยนแปลงของรายได้รวมของคณะเทียบแผนงบประมาณ</w:t>
            </w:r>
          </w:p>
          <w:p w14:paraId="27A1D880" w14:textId="554B55EF" w:rsidR="007202C1" w:rsidRPr="00A6335F" w:rsidRDefault="007202C1" w:rsidP="005F6D59">
            <w:pPr>
              <w:pStyle w:val="a9"/>
              <w:numPr>
                <w:ilvl w:val="0"/>
                <w:numId w:val="155"/>
              </w:numPr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แหล่งข้อมูล รายงานรับสมัคร รายงานจำนวนนักศึกษา รายงานรายได้เทียบแผน รายงานติดตาม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KRI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รายไตรมาส</w:t>
            </w:r>
          </w:p>
        </w:tc>
      </w:tr>
      <w:tr w:rsidR="00DC303E" w:rsidRPr="005F6D59" w14:paraId="4B428577" w14:textId="77777777" w:rsidTr="00D92FBD">
        <w:tc>
          <w:tcPr>
            <w:tcW w:w="3823" w:type="dxa"/>
          </w:tcPr>
          <w:p w14:paraId="77B40F94" w14:textId="22F16F61" w:rsidR="00DC303E" w:rsidRPr="00A6335F" w:rsidRDefault="00DC303E" w:rsidP="00DC303E">
            <w:pPr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L2: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การทบทวนความยั่งยืนของรายได้และปรับปรุงกลยุทธ์ด้านการเงิน</w:t>
            </w:r>
          </w:p>
        </w:tc>
        <w:tc>
          <w:tcPr>
            <w:tcW w:w="5194" w:type="dxa"/>
          </w:tcPr>
          <w:p w14:paraId="5663A7F5" w14:textId="77777777" w:rsidR="00DC303E" w:rsidRPr="00A6335F" w:rsidRDefault="00DC303E" w:rsidP="00DC303E">
            <w:pPr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ผลการติดตามแผนรายได้รายไตรมาสหลายส่วนยังไม่เป็นไปตามเป้าหมาย และจำเป็นต้องเร่งปรับมาตรการด้านการตลาด การจัดโปรแกรมใหม่ และการขยายแหล่งรายได้</w:t>
            </w:r>
          </w:p>
          <w:p w14:paraId="44D836ED" w14:textId="5993AA0A" w:rsidR="00D83543" w:rsidRPr="00A6335F" w:rsidRDefault="005F6D59" w:rsidP="005F6D59">
            <w:pPr>
              <w:pStyle w:val="a9"/>
              <w:numPr>
                <w:ilvl w:val="0"/>
                <w:numId w:val="155"/>
              </w:numPr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สนับสนุนการขับเคลื่อนและการติดตามตัวชี้วัดความเสี่ยง ได้แก่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KRI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4 รายได้จากการให้บริการวิชาการ การทดสอบ และการฝึกอบรม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KRI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5 รายได้จากการใช้ประโยชน์ทรัพย์สิน พื้นที่เช่า และกิจกรรมสร้างรายได้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KRI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6 อัตราส่วนรายได้ต่อรายจ่ายของคณะ และเชื่อมโยงกับ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KRI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1 อัตราการเปลี่ยนแปลงของรายได้รวมของคณะเทียบแผนงบประมาณ</w:t>
            </w:r>
          </w:p>
          <w:p w14:paraId="51C69B59" w14:textId="4D6E7E55" w:rsidR="005F6D59" w:rsidRPr="00A6335F" w:rsidRDefault="005F6D59" w:rsidP="005F6D59">
            <w:pPr>
              <w:pStyle w:val="a9"/>
              <w:numPr>
                <w:ilvl w:val="0"/>
                <w:numId w:val="155"/>
              </w:numPr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แหล่งข้อมูล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รายงานติดตามแผนรายได้รายไตรมาส รายงานรายได้แยกตามแหล่งรายได้ รายงานผลการดำเนินงานบริการวิชาการและโครงการฝึกอบรม รายงานรายได้จากการใช้ประโยชน์ทรัพย์สินและพื้นที่เช่า รายงานรายได้และรายจ่ายของคณะ รายงานติดตามตัวชี้วัดความเสี่ยง และบันทึกการประชุมทบทวนและปรับมาตรการของผู้บริหารคณะ</w:t>
            </w:r>
          </w:p>
        </w:tc>
      </w:tr>
      <w:tr w:rsidR="00DC303E" w:rsidRPr="005F6D59" w14:paraId="3822687E" w14:textId="77777777" w:rsidTr="00D92FBD">
        <w:tc>
          <w:tcPr>
            <w:tcW w:w="3823" w:type="dxa"/>
          </w:tcPr>
          <w:p w14:paraId="520701CB" w14:textId="1CB74703" w:rsidR="00DC303E" w:rsidRPr="00A6335F" w:rsidRDefault="00DC303E" w:rsidP="00DC303E">
            <w:pPr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I1</w:t>
            </w:r>
            <w:r w:rsidR="005F6D59"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</w:t>
            </w:r>
            <w:r w:rsidR="005F6D59" w:rsidRPr="00A6335F">
              <w:rPr>
                <w:rFonts w:ascii="TH SarabunPSK" w:hAnsi="TH SarabunPSK" w:cs="TH SarabunPSK" w:hint="cs"/>
                <w:color w:val="EE0000"/>
                <w:sz w:val="28"/>
                <w:cs/>
              </w:rPr>
              <w:t>และ</w:t>
            </w:r>
            <w:r w:rsidR="005F6D59"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 I2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: </w:t>
            </w:r>
            <w:r w:rsidR="0023403F"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>ผลกระทบด้านรายได้ ร้อยละความสำเร็จของรายได้เมื่อเทียบกับเป้าหมายตามแผนงบประมาณ</w:t>
            </w:r>
          </w:p>
        </w:tc>
        <w:tc>
          <w:tcPr>
            <w:tcW w:w="5194" w:type="dxa"/>
          </w:tcPr>
          <w:p w14:paraId="7F016C9F" w14:textId="540A9B32" w:rsidR="005F6D59" w:rsidRPr="00A6335F" w:rsidRDefault="005F6D59" w:rsidP="005F6D59">
            <w:pPr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ใช้ประเมินผลกระทบด้านรายได้โดยเปรียบเทียบรายได้ที่ดำเนินการได้จริงกับเป้าหมายรายได้ตามแผนงบประมาณ ทั้งนี้ หากร้อยละความสำเร็จของรายได้ต่ำกว่าร้อยละ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60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ของเป้าหมายที่กำหนด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br/>
              <w:t>ให้พิจารณาเป็นความเสี่ยงระดับสูง และให้หน่วยงานเร่งเพิ่มมาตรการบริหารความเสี่ยง พร้อมทบทวนและปรับแผนเพิ่มรายได้และมาตรการควบคุมค่าใช้จ่ายโดยทันที เพื่อให้การดำเนินงานเป็นไปตามเป้าหมายและเกิดความมั่นคงด้านการเงินของหน่วยงาน</w:t>
            </w:r>
          </w:p>
          <w:p w14:paraId="71DCA13C" w14:textId="7A9D48DE" w:rsidR="005F6D59" w:rsidRPr="00A6335F" w:rsidRDefault="005F6D59" w:rsidP="005F6D59">
            <w:pPr>
              <w:rPr>
                <w:rFonts w:ascii="TH SarabunPSK" w:hAnsi="TH SarabunPSK" w:cs="TH SarabunPSK"/>
                <w:color w:val="EE0000"/>
                <w:sz w:val="28"/>
              </w:rPr>
            </w:pPr>
            <w:r w:rsidRPr="00A6335F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สูตรคำนวณ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br/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ร้อยละความสำเร็จของรายได้เมื่อเทียบกับเป้าหมาย = (รายได้ที่ดำเนินการได้จริง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 xml:space="preserve">÷ </w:t>
            </w:r>
            <w:r w:rsidRPr="00A6335F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เป้าหมายรายได้ตามแผนงบประมาณ) </w:t>
            </w:r>
            <w:r w:rsidRPr="00A6335F">
              <w:rPr>
                <w:rFonts w:ascii="TH SarabunPSK" w:hAnsi="TH SarabunPSK" w:cs="TH SarabunPSK"/>
                <w:color w:val="EE0000"/>
                <w:sz w:val="28"/>
              </w:rPr>
              <w:t>× 100</w:t>
            </w:r>
          </w:p>
        </w:tc>
      </w:tr>
    </w:tbl>
    <w:p w14:paraId="4EC7ED8E" w14:textId="77777777" w:rsidR="00D14AD5" w:rsidRDefault="00D14AD5" w:rsidP="00D14AD5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E8F301D" w14:textId="74B11941" w:rsidR="005F6D59" w:rsidRDefault="005F6D59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br w:type="page"/>
      </w:r>
    </w:p>
    <w:p w14:paraId="66F1461D" w14:textId="77777777" w:rsidR="00D14AD5" w:rsidRDefault="00D14AD5" w:rsidP="003B47A9">
      <w:pPr>
        <w:pStyle w:val="a9"/>
        <w:numPr>
          <w:ilvl w:val="0"/>
          <w:numId w:val="148"/>
        </w:num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5C4F6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ประเมินระดับความเสี่ยง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4854"/>
        <w:gridCol w:w="977"/>
        <w:gridCol w:w="1291"/>
        <w:gridCol w:w="1895"/>
      </w:tblGrid>
      <w:tr w:rsidR="00D14AD5" w:rsidRPr="00D022B5" w14:paraId="7FEA1A3F" w14:textId="77777777" w:rsidTr="005B222F">
        <w:tc>
          <w:tcPr>
            <w:tcW w:w="2691" w:type="pct"/>
            <w:vMerge w:val="restart"/>
            <w:vAlign w:val="center"/>
          </w:tcPr>
          <w:p w14:paraId="511BA518" w14:textId="77777777" w:rsidR="00D14AD5" w:rsidRPr="003B6952" w:rsidRDefault="00D14AD5" w:rsidP="006C74CB">
            <w:pPr>
              <w:pStyle w:val="a9"/>
              <w:ind w:left="36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แผน/ผล</w:t>
            </w:r>
          </w:p>
        </w:tc>
        <w:tc>
          <w:tcPr>
            <w:tcW w:w="1258" w:type="pct"/>
            <w:gridSpan w:val="2"/>
          </w:tcPr>
          <w:p w14:paraId="59320A97" w14:textId="77777777" w:rsidR="00D63D51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  <w:p w14:paraId="2C996C67" w14:textId="45048368" w:rsidR="00D14AD5" w:rsidRPr="003B6952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052" w:type="pct"/>
            <w:vMerge w:val="restart"/>
            <w:vAlign w:val="center"/>
          </w:tcPr>
          <w:p w14:paraId="14E0675D" w14:textId="77777777" w:rsidR="00D14AD5" w:rsidRPr="003B6952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D14AD5" w:rsidRPr="00D022B5" w14:paraId="26968E36" w14:textId="77777777" w:rsidTr="005B222F">
        <w:tc>
          <w:tcPr>
            <w:tcW w:w="2691" w:type="pct"/>
            <w:vMerge/>
          </w:tcPr>
          <w:p w14:paraId="52FDDD52" w14:textId="77777777" w:rsidR="00D14AD5" w:rsidRPr="003B6952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2" w:type="pct"/>
          </w:tcPr>
          <w:p w14:paraId="70206522" w14:textId="77777777" w:rsidR="00D14AD5" w:rsidRPr="003B6952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โอกาส</w:t>
            </w:r>
          </w:p>
        </w:tc>
        <w:tc>
          <w:tcPr>
            <w:tcW w:w="716" w:type="pct"/>
          </w:tcPr>
          <w:p w14:paraId="25D4BB18" w14:textId="77777777" w:rsidR="00D14AD5" w:rsidRPr="003B6952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B695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052" w:type="pct"/>
            <w:vMerge/>
          </w:tcPr>
          <w:p w14:paraId="6D1A575D" w14:textId="77777777" w:rsidR="00D14AD5" w:rsidRPr="003B6952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23403F" w:rsidRPr="00D022B5" w14:paraId="6CC10C98" w14:textId="77777777" w:rsidTr="005B222F">
        <w:tc>
          <w:tcPr>
            <w:tcW w:w="2691" w:type="pct"/>
          </w:tcPr>
          <w:p w14:paraId="7972A00C" w14:textId="77777777" w:rsidR="0023403F" w:rsidRPr="00F83CA1" w:rsidRDefault="0023403F" w:rsidP="0023403F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แผนบริหารความเสี่ยง</w:t>
            </w:r>
            <w:r w:rsidRPr="00F83C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ฯ</w:t>
            </w: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ปีงบประมาณ 2569</w:t>
            </w:r>
          </w:p>
          <w:p w14:paraId="78DA782B" w14:textId="453852C7" w:rsidR="0023403F" w:rsidRPr="00F83CA1" w:rsidRDefault="0023403F" w:rsidP="0023403F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42" w:type="pct"/>
          </w:tcPr>
          <w:p w14:paraId="7A5D9F57" w14:textId="77777777" w:rsidR="0023403F" w:rsidRPr="00F83CA1" w:rsidRDefault="0023403F" w:rsidP="00D63D5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L1 = 2</w:t>
            </w:r>
          </w:p>
          <w:p w14:paraId="7040FF8E" w14:textId="74B6B4C1" w:rsidR="0023403F" w:rsidRPr="00F83CA1" w:rsidRDefault="0023403F" w:rsidP="0023403F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L2 = 2</w:t>
            </w:r>
          </w:p>
        </w:tc>
        <w:tc>
          <w:tcPr>
            <w:tcW w:w="716" w:type="pct"/>
          </w:tcPr>
          <w:p w14:paraId="20413C89" w14:textId="38807E68" w:rsidR="0023403F" w:rsidRPr="00F83CA1" w:rsidRDefault="0023403F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</w:t>
            </w:r>
            <w:r w:rsidR="00D63D51"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= </w:t>
            </w:r>
            <w:r w:rsidR="00F83CA1"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  <w:p w14:paraId="399E383B" w14:textId="666382E2" w:rsidR="00D63D51" w:rsidRPr="00F83CA1" w:rsidRDefault="00D63D51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I2 = </w:t>
            </w:r>
            <w:r w:rsidR="00F83CA1"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  <w:p w14:paraId="0898E732" w14:textId="003DA3AE" w:rsidR="0023403F" w:rsidRPr="00F83CA1" w:rsidRDefault="0023403F" w:rsidP="0023403F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52" w:type="pct"/>
          </w:tcPr>
          <w:p w14:paraId="01BC2752" w14:textId="47009319" w:rsidR="0023403F" w:rsidRPr="00F83CA1" w:rsidRDefault="00D63D51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R1 = </w:t>
            </w:r>
            <w:r w:rsidR="00F83CA1"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  <w:p w14:paraId="3BEDCFFC" w14:textId="3EC4DDCA" w:rsidR="00D63D51" w:rsidRPr="00F83CA1" w:rsidRDefault="00D63D51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R2 = </w:t>
            </w:r>
            <w:r w:rsidR="00F83CA1"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  <w:p w14:paraId="6CEA1F56" w14:textId="1F4BF558" w:rsidR="0023403F" w:rsidRPr="00F83CA1" w:rsidRDefault="00F83CA1" w:rsidP="005B222F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244C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R</w:t>
            </w:r>
            <w:r w:rsidRPr="00A244C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vertAlign w:val="subscript"/>
              </w:rPr>
              <w:t>overall</w:t>
            </w:r>
            <w:r w:rsidRPr="00F83CA1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= </w:t>
            </w:r>
            <w:r w:rsidRPr="00F83CA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4</w:t>
            </w:r>
            <w:r w:rsidR="005B222F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</w:t>
            </w:r>
            <w:r w:rsidRPr="00F83CA1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น้อย</w:t>
            </w:r>
          </w:p>
        </w:tc>
      </w:tr>
      <w:tr w:rsidR="00F83CA1" w:rsidRPr="003B6952" w14:paraId="439CD146" w14:textId="77777777" w:rsidTr="005B222F">
        <w:tc>
          <w:tcPr>
            <w:tcW w:w="2691" w:type="pct"/>
            <w:shd w:val="clear" w:color="auto" w:fill="FFFF99"/>
          </w:tcPr>
          <w:p w14:paraId="70777D71" w14:textId="77777777" w:rsidR="00F83CA1" w:rsidRPr="00F83CA1" w:rsidRDefault="00F83CA1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ผลการดำเนินงานฯ ปีงบประมาณ </w:t>
            </w:r>
            <w:r w:rsidRPr="00F83CA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พ.ศ.</w:t>
            </w:r>
            <w:r w:rsidRPr="00F83CA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2568 </w:t>
            </w: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F83CA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(ระดับความเสี่ยงที่เหลืออยู่)</w:t>
            </w:r>
            <w:r w:rsidRPr="00F83CA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F0CF1EC" w14:textId="54890959" w:rsidR="00F83CA1" w:rsidRPr="00F83CA1" w:rsidRDefault="00F83CA1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244C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R</w:t>
            </w:r>
            <w:r w:rsidRPr="00A244CA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vertAlign w:val="subscript"/>
              </w:rPr>
              <w:t xml:space="preserve">overall </w:t>
            </w:r>
            <w:r w:rsidRPr="00A244CA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proofErr w:type="gramStart"/>
            <w:r w:rsidRPr="00A244CA">
              <w:rPr>
                <w:rFonts w:ascii="TH SarabunPSK" w:hAnsi="TH SarabunPSK" w:cs="TH SarabunPSK"/>
                <w:color w:val="EE0000"/>
                <w:sz w:val="32"/>
                <w:szCs w:val="32"/>
              </w:rPr>
              <w:t>max(</w:t>
            </w:r>
            <w:proofErr w:type="gramEnd"/>
            <w:r w:rsidRPr="00A244CA">
              <w:rPr>
                <w:rFonts w:ascii="TH SarabunPSK" w:hAnsi="TH SarabunPSK" w:cs="TH SarabunPSK"/>
                <w:color w:val="EE0000"/>
                <w:sz w:val="32"/>
                <w:szCs w:val="32"/>
              </w:rPr>
              <w:t>12</w:t>
            </w:r>
            <w:r w:rsidRPr="00A244CA">
              <w:rPr>
                <w:rFonts w:ascii="TH SarabunPSK" w:hAnsi="TH SarabunPSK" w:cs="TH SarabunPSK"/>
                <w:sz w:val="32"/>
                <w:szCs w:val="32"/>
              </w:rPr>
              <w:t>, 6)</w:t>
            </w:r>
          </w:p>
        </w:tc>
        <w:tc>
          <w:tcPr>
            <w:tcW w:w="542" w:type="pct"/>
            <w:shd w:val="clear" w:color="auto" w:fill="FFFF99"/>
          </w:tcPr>
          <w:p w14:paraId="290445E4" w14:textId="7C130FF5" w:rsidR="00F83CA1" w:rsidRPr="00F83CA1" w:rsidRDefault="00F83CA1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L1 =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  <w:p w14:paraId="4EA9A986" w14:textId="23F9F8BF" w:rsidR="00F83CA1" w:rsidRPr="00F83CA1" w:rsidRDefault="00F83CA1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L2 = 2</w:t>
            </w:r>
          </w:p>
        </w:tc>
        <w:tc>
          <w:tcPr>
            <w:tcW w:w="716" w:type="pct"/>
            <w:shd w:val="clear" w:color="auto" w:fill="FFFF99"/>
          </w:tcPr>
          <w:p w14:paraId="72982556" w14:textId="0AD98AB2" w:rsidR="00F83CA1" w:rsidRPr="00F83CA1" w:rsidRDefault="00F83CA1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I1 =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  <w:p w14:paraId="51DD51AC" w14:textId="4DD8B00C" w:rsidR="00F83CA1" w:rsidRPr="00F83CA1" w:rsidRDefault="00F83CA1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I2 =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  <w:p w14:paraId="5DD95BC2" w14:textId="47C884B6" w:rsidR="00F83CA1" w:rsidRPr="00F83CA1" w:rsidRDefault="00F83CA1" w:rsidP="00F83CA1">
            <w:pPr>
              <w:pStyle w:val="a9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52" w:type="pct"/>
            <w:shd w:val="clear" w:color="auto" w:fill="FFFF99"/>
          </w:tcPr>
          <w:p w14:paraId="78AC1C49" w14:textId="3F837F38" w:rsidR="00F83CA1" w:rsidRPr="00F83CA1" w:rsidRDefault="00F83CA1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R1 =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</w:p>
          <w:p w14:paraId="503EE274" w14:textId="31CA93AA" w:rsidR="00F83CA1" w:rsidRPr="00F83CA1" w:rsidRDefault="00F83CA1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R2 = 6</w:t>
            </w:r>
          </w:p>
          <w:p w14:paraId="76A218C2" w14:textId="40874F60" w:rsidR="00F83CA1" w:rsidRPr="00F83CA1" w:rsidRDefault="00F83CA1" w:rsidP="005B222F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244CA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R</w:t>
            </w:r>
            <w:r w:rsidRPr="00A244CA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vertAlign w:val="subscript"/>
              </w:rPr>
              <w:t>overall</w:t>
            </w:r>
            <w:r w:rsidRPr="00F83CA1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= 12</w:t>
            </w:r>
            <w:r w:rsidR="005B222F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F83CA1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สูง</w:t>
            </w:r>
          </w:p>
        </w:tc>
      </w:tr>
      <w:tr w:rsidR="00D63D51" w:rsidRPr="00D022B5" w14:paraId="50F40B28" w14:textId="77777777" w:rsidTr="005B222F">
        <w:tc>
          <w:tcPr>
            <w:tcW w:w="2691" w:type="pct"/>
            <w:shd w:val="clear" w:color="auto" w:fill="B3E5A1" w:themeFill="accent6" w:themeFillTint="66"/>
          </w:tcPr>
          <w:p w14:paraId="72153B93" w14:textId="77777777" w:rsidR="00D63D51" w:rsidRPr="00F83CA1" w:rsidRDefault="00D63D51" w:rsidP="00D63D51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83CA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ระดับความเสี่ยงที่ยอมรับได้</w:t>
            </w:r>
            <w:r w:rsidRPr="00F83CA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42" w:type="pct"/>
            <w:shd w:val="clear" w:color="auto" w:fill="B3E5A1" w:themeFill="accent6" w:themeFillTint="66"/>
          </w:tcPr>
          <w:p w14:paraId="026892C3" w14:textId="77777777" w:rsidR="00D63D51" w:rsidRPr="00F83CA1" w:rsidRDefault="00D63D51" w:rsidP="00D63D5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L1 = 2</w:t>
            </w:r>
          </w:p>
          <w:p w14:paraId="339B6BBE" w14:textId="00D306A7" w:rsidR="00D63D51" w:rsidRPr="00F83CA1" w:rsidRDefault="00D63D51" w:rsidP="00D63D5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L2 = 2</w:t>
            </w:r>
          </w:p>
        </w:tc>
        <w:tc>
          <w:tcPr>
            <w:tcW w:w="716" w:type="pct"/>
            <w:shd w:val="clear" w:color="auto" w:fill="B3E5A1" w:themeFill="accent6" w:themeFillTint="66"/>
          </w:tcPr>
          <w:p w14:paraId="3AB2F6E8" w14:textId="0A1AAC99" w:rsidR="00D63D51" w:rsidRPr="00F83CA1" w:rsidRDefault="00D63D51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I1 = </w:t>
            </w:r>
            <w:r w:rsidR="00F83CA1"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  <w:p w14:paraId="7EB702A1" w14:textId="34779E43" w:rsidR="00D63D51" w:rsidRPr="00F83CA1" w:rsidRDefault="00D63D51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I2 = </w:t>
            </w:r>
            <w:r w:rsidR="00F83CA1"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  <w:p w14:paraId="6C811CE1" w14:textId="77777777" w:rsidR="00D63D51" w:rsidRPr="00F83CA1" w:rsidRDefault="00D63D51" w:rsidP="00D63D5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52" w:type="pct"/>
            <w:shd w:val="clear" w:color="auto" w:fill="B3E5A1" w:themeFill="accent6" w:themeFillTint="66"/>
          </w:tcPr>
          <w:p w14:paraId="1315A40C" w14:textId="5A29EB98" w:rsidR="00D63D51" w:rsidRPr="00F83CA1" w:rsidRDefault="00D63D51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R1 = </w:t>
            </w:r>
            <w:r w:rsidR="00F83CA1"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  <w:p w14:paraId="40431F73" w14:textId="52E795C7" w:rsidR="00D63D51" w:rsidRPr="00F83CA1" w:rsidRDefault="00D63D51" w:rsidP="00F83CA1">
            <w:pPr>
              <w:pStyle w:val="a9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R2 = </w:t>
            </w:r>
            <w:r w:rsidR="00F83CA1" w:rsidRPr="00F83C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  <w:p w14:paraId="06B5D2A9" w14:textId="77777777" w:rsidR="005B222F" w:rsidRDefault="00F83CA1" w:rsidP="005B222F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A244CA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R</w:t>
            </w:r>
            <w:r w:rsidRPr="00A244CA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vertAlign w:val="subscript"/>
              </w:rPr>
              <w:t>overall</w:t>
            </w:r>
            <w:r w:rsidRPr="00F83CA1">
              <w:rPr>
                <w:rFonts w:ascii="TH SarabunPSK" w:hAnsi="TH SarabunPSK" w:cs="TH SarabunPSK"/>
                <w:color w:val="0000FF"/>
                <w:sz w:val="32"/>
                <w:szCs w:val="32"/>
              </w:rPr>
              <w:t xml:space="preserve"> = 6</w:t>
            </w:r>
            <w:r w:rsidR="005B222F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  <w:p w14:paraId="303DE12B" w14:textId="5F9F8B74" w:rsidR="00D63D51" w:rsidRPr="00F83CA1" w:rsidRDefault="00F83CA1" w:rsidP="005B222F">
            <w:pPr>
              <w:pStyle w:val="a9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B222F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ปานกลาง</w:t>
            </w:r>
          </w:p>
        </w:tc>
      </w:tr>
    </w:tbl>
    <w:p w14:paraId="636F9822" w14:textId="6F1DB0D9" w:rsidR="00F55B89" w:rsidRDefault="00F55B89" w:rsidP="00D14AD5">
      <w:pPr>
        <w:pStyle w:val="a9"/>
        <w:spacing w:after="0" w:line="240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337"/>
        <w:gridCol w:w="373"/>
        <w:gridCol w:w="505"/>
        <w:gridCol w:w="505"/>
        <w:gridCol w:w="505"/>
        <w:gridCol w:w="505"/>
      </w:tblGrid>
      <w:tr w:rsidR="00D14AD5" w:rsidRPr="00537C2A" w14:paraId="6A13DAE0" w14:textId="77777777" w:rsidTr="006C74CB">
        <w:trPr>
          <w:trHeight w:val="379"/>
          <w:jc w:val="center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2F9F3396" w14:textId="77777777" w:rsidR="00D14AD5" w:rsidRPr="00537C2A" w:rsidRDefault="00D14AD5" w:rsidP="006C74CB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ADD35" w14:textId="77777777" w:rsidR="00D14AD5" w:rsidRPr="00537C2A" w:rsidRDefault="00D14AD5" w:rsidP="006C74CB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</w:tcBorders>
          </w:tcPr>
          <w:p w14:paraId="2F54FA52" w14:textId="2D3E100F" w:rsidR="00D14AD5" w:rsidRPr="00537C2A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โอก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า</w:t>
            </w:r>
            <w:r w:rsidRPr="004C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สเกิด (</w:t>
            </w:r>
            <w:r w:rsidRPr="004C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Like</w:t>
            </w:r>
            <w:r w:rsidR="00D438C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li</w:t>
            </w:r>
            <w:r w:rsidRPr="004C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hood)</w:t>
            </w:r>
          </w:p>
        </w:tc>
      </w:tr>
      <w:tr w:rsidR="00D14AD5" w:rsidRPr="00537C2A" w14:paraId="6CE57838" w14:textId="77777777" w:rsidTr="006C74CB">
        <w:trPr>
          <w:trHeight w:val="388"/>
          <w:jc w:val="center"/>
        </w:trPr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0C155" w14:textId="77777777" w:rsidR="00D14AD5" w:rsidRPr="00537C2A" w:rsidRDefault="00D14AD5" w:rsidP="006C74CB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59A50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E8E8E8" w:themeFill="background2"/>
          </w:tcPr>
          <w:p w14:paraId="66BDF75B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E8E8E8" w:themeFill="background2"/>
          </w:tcPr>
          <w:p w14:paraId="20C7477C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shd w:val="clear" w:color="auto" w:fill="E8E8E8" w:themeFill="background2"/>
          </w:tcPr>
          <w:p w14:paraId="180E2954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shd w:val="clear" w:color="auto" w:fill="E8E8E8" w:themeFill="background2"/>
          </w:tcPr>
          <w:p w14:paraId="725447B7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shd w:val="clear" w:color="auto" w:fill="E8E8E8" w:themeFill="background2"/>
          </w:tcPr>
          <w:p w14:paraId="26502D45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D14AD5" w:rsidRPr="00537C2A" w14:paraId="20EFE75B" w14:textId="77777777" w:rsidTr="00D63D51">
        <w:trPr>
          <w:trHeight w:val="379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</w:tcBorders>
            <w:textDirection w:val="btLr"/>
          </w:tcPr>
          <w:p w14:paraId="3A41F97A" w14:textId="77777777" w:rsidR="00D14AD5" w:rsidRPr="00537C2A" w:rsidRDefault="00D14AD5" w:rsidP="006C74CB">
            <w:pPr>
              <w:pStyle w:val="a9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37C2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ผลกระทบ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Impact)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8E8E8" w:themeFill="background2"/>
          </w:tcPr>
          <w:p w14:paraId="100C7DFD" w14:textId="77777777" w:rsidR="00D14AD5" w:rsidRPr="00537C2A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4A49FD05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137C85CE" w14:textId="6590539C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14:paraId="2B25F346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0" w:type="auto"/>
          </w:tcPr>
          <w:p w14:paraId="69F28A30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0" w:type="auto"/>
          </w:tcPr>
          <w:p w14:paraId="18AC3166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</w:t>
            </w:r>
          </w:p>
        </w:tc>
      </w:tr>
      <w:tr w:rsidR="00D14AD5" w:rsidRPr="00537C2A" w14:paraId="649DE4D6" w14:textId="77777777" w:rsidTr="005B222F">
        <w:trPr>
          <w:trHeight w:val="151"/>
          <w:jc w:val="center"/>
        </w:trPr>
        <w:tc>
          <w:tcPr>
            <w:tcW w:w="878" w:type="dxa"/>
            <w:vMerge/>
          </w:tcPr>
          <w:p w14:paraId="2E8B449C" w14:textId="77777777" w:rsidR="00D14AD5" w:rsidRPr="00537C2A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2FD3D124" w14:textId="77777777" w:rsidR="00D14AD5" w:rsidRPr="00537C2A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6C0B1BF4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B222F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013C6398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  <w:shd w:val="clear" w:color="auto" w:fill="FFFF00"/>
          </w:tcPr>
          <w:p w14:paraId="04C56CC1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B222F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14:paraId="24E9D3E0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0" w:type="auto"/>
          </w:tcPr>
          <w:p w14:paraId="3971FA58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D14AD5" w:rsidRPr="00537C2A" w14:paraId="74F4DDA7" w14:textId="77777777" w:rsidTr="006C74CB">
        <w:trPr>
          <w:trHeight w:val="151"/>
          <w:jc w:val="center"/>
        </w:trPr>
        <w:tc>
          <w:tcPr>
            <w:tcW w:w="878" w:type="dxa"/>
            <w:vMerge/>
          </w:tcPr>
          <w:p w14:paraId="1860C641" w14:textId="77777777" w:rsidR="00D14AD5" w:rsidRPr="00537C2A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53A25D4A" w14:textId="77777777" w:rsidR="00D14AD5" w:rsidRPr="00537C2A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16E1CA22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6F14438E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77708A2E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14:paraId="3372009F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14:paraId="378E9B9E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15</w:t>
            </w:r>
          </w:p>
        </w:tc>
      </w:tr>
      <w:tr w:rsidR="00D14AD5" w:rsidRPr="00537C2A" w14:paraId="1E6B9994" w14:textId="77777777" w:rsidTr="005B222F">
        <w:trPr>
          <w:trHeight w:val="151"/>
          <w:jc w:val="center"/>
        </w:trPr>
        <w:tc>
          <w:tcPr>
            <w:tcW w:w="878" w:type="dxa"/>
            <w:vMerge/>
          </w:tcPr>
          <w:p w14:paraId="70E84707" w14:textId="77777777" w:rsidR="00D14AD5" w:rsidRPr="00537C2A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19F9BF06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1D21F6D0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3B0654CB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shd w:val="clear" w:color="auto" w:fill="B3E5A1" w:themeFill="accent6" w:themeFillTint="66"/>
          </w:tcPr>
          <w:p w14:paraId="7CEFB14E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B222F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1271FB12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14:paraId="39B98D39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</w:tr>
      <w:tr w:rsidR="00D14AD5" w:rsidRPr="00537C2A" w14:paraId="795DD013" w14:textId="77777777" w:rsidTr="005B222F">
        <w:trPr>
          <w:trHeight w:val="151"/>
          <w:jc w:val="center"/>
        </w:trPr>
        <w:tc>
          <w:tcPr>
            <w:tcW w:w="878" w:type="dxa"/>
            <w:vMerge/>
          </w:tcPr>
          <w:p w14:paraId="20EF7C63" w14:textId="77777777" w:rsidR="00D14AD5" w:rsidRPr="00537C2A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1E83AF98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37C2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3CF41497" w14:textId="77777777" w:rsidR="00D14AD5" w:rsidRPr="004A0868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8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7AC6AB6F" w14:textId="0EC2E322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32ABC593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02C762CF" w14:textId="0083B610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362660D6" w14:textId="77777777" w:rsidR="00D14AD5" w:rsidRPr="00537C2A" w:rsidRDefault="00D14AD5" w:rsidP="006C74C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</w:tbl>
    <w:p w14:paraId="5BB1D1CD" w14:textId="61165B42" w:rsidR="005B222F" w:rsidRDefault="00323C73" w:rsidP="00F55B89">
      <w:pPr>
        <w:pStyle w:val="a9"/>
        <w:ind w:left="36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EE0000"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17652" wp14:editId="45B168BA">
                <wp:simplePos x="0" y="0"/>
                <wp:positionH relativeFrom="column">
                  <wp:posOffset>-283029</wp:posOffset>
                </wp:positionH>
                <wp:positionV relativeFrom="paragraph">
                  <wp:posOffset>112849</wp:posOffset>
                </wp:positionV>
                <wp:extent cx="6530340" cy="2939142"/>
                <wp:effectExtent l="0" t="0" r="22860" b="13970"/>
                <wp:wrapNone/>
                <wp:docPr id="1718055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340" cy="2939142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B9321" w14:textId="77777777" w:rsidR="00323C73" w:rsidRPr="00682273" w:rsidRDefault="00323C73" w:rsidP="00323C73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</w:pP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กรณีที่การประเมินความเสี่ยงมีมากกว่า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1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กรณีย่อย ให้คำนวณคะแนนความเสี่ยงรายกรณีจากสูตร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R = L × I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เช่น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R1 = L1 × I1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และ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R2 = L2 × I2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แล้วสรุปเป็นคะแนนภาพรวม (</w:t>
                            </w:r>
                            <w:proofErr w:type="spellStart"/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Roverall</w:t>
                            </w:r>
                            <w:proofErr w:type="spellEnd"/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)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ได้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2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วิธี ดังนี้</w:t>
                            </w:r>
                          </w:p>
                          <w:p w14:paraId="31ACE371" w14:textId="74F9AB6B" w:rsidR="00323C73" w:rsidRPr="00682273" w:rsidRDefault="00323C73" w:rsidP="00323C73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CC"/>
                                <w:sz w:val="28"/>
                              </w:rPr>
                            </w:pP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วิธีที่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 xml:space="preserve">1 </w:t>
                            </w:r>
                            <w:proofErr w:type="spellStart"/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>R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vertAlign w:val="subscript"/>
                              </w:rPr>
                              <w:t>overall</w:t>
                            </w:r>
                            <w:proofErr w:type="spellEnd"/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</w:rPr>
                              <w:t xml:space="preserve"> = MAX(R1, R2)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ให้ใช้คะแนนที่สูงที่สุดเป็นคะแนนภาพรวม เพื่อไม่ให้พลาดกรณีที่มีความเสี่ยงสูงสุด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br/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>ข้อดี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เน้นคุมความเสี่ยงกรณีรุนแรงที่สุด ลดโอกาสพลาดเหตุการณ์สำคัญ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คำนวณง่าย ชัดเจน ตรวจสอบได้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ช่วยจัดลำดับความเร่งด่วน โดยเร่งแก้กรณีที่คะแนนสูงสุดก่อน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เหมาะกับความเสี่ยงผลกระทบสูง เช่น กฎหมาย ความปลอดภัย ชื่อเสียง และจริยธรรม</w:t>
                            </w:r>
                          </w:p>
                          <w:p w14:paraId="39AA95DB" w14:textId="6B52395F" w:rsidR="00323C73" w:rsidRPr="00682273" w:rsidRDefault="00323C73" w:rsidP="00323C73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</w:pP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CC"/>
                                <w:sz w:val="28"/>
                                <w:cs/>
                              </w:rPr>
                              <w:t xml:space="preserve">วิธีที่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CC"/>
                                <w:sz w:val="28"/>
                              </w:rPr>
                              <w:t xml:space="preserve">2 </w:t>
                            </w:r>
                            <w:proofErr w:type="spellStart"/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CC"/>
                                <w:sz w:val="28"/>
                              </w:rPr>
                              <w:t>R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CC"/>
                                <w:sz w:val="28"/>
                                <w:vertAlign w:val="subscript"/>
                              </w:rPr>
                              <w:t>overall</w:t>
                            </w:r>
                            <w:proofErr w:type="spellEnd"/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CC"/>
                                <w:sz w:val="28"/>
                              </w:rPr>
                              <w:t xml:space="preserve">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CC"/>
                                <w:sz w:val="28"/>
                                <w:cs/>
                              </w:rPr>
                              <w:t>แบบถ่วงน้ำหนัก (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CC"/>
                                <w:sz w:val="28"/>
                              </w:rPr>
                              <w:t>Weighted)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 xml:space="preserve">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cs/>
                              </w:rPr>
                              <w:t>ให้ถ่วงน้ำหนักคะแนนความเสี่ยงของแต่ละกรณีย่อยตามความสำคัญหรือสัดส่วนงาน โดยคำนวณจาก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>R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vertAlign w:val="subscript"/>
                              </w:rPr>
                              <w:t>overall</w:t>
                            </w:r>
                            <w:proofErr w:type="spellEnd"/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 xml:space="preserve"> = (R1×w1) + (R2×w2)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cs/>
                              </w:rPr>
                              <w:t xml:space="preserve">โดย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>w1 + w2 = 1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br/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cs/>
                              </w:rPr>
                              <w:t xml:space="preserve">ตัวอย่าง เมื่อ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 xml:space="preserve">R1 = 12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cs/>
                              </w:rPr>
                              <w:t xml:space="preserve">และ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>R2 = 6</w:t>
                            </w:r>
                          </w:p>
                          <w:p w14:paraId="6043D1CA" w14:textId="77777777" w:rsidR="00323C73" w:rsidRPr="00682273" w:rsidRDefault="00323C73" w:rsidP="00323C73">
                            <w:pPr>
                              <w:numPr>
                                <w:ilvl w:val="0"/>
                                <w:numId w:val="161"/>
                              </w:numPr>
                              <w:tabs>
                                <w:tab w:val="left" w:pos="284"/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</w:pP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cs/>
                              </w:rPr>
                              <w:t xml:space="preserve">กำหนด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 xml:space="preserve">w1 = 0.50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cs/>
                              </w:rPr>
                              <w:t xml:space="preserve">และ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 xml:space="preserve">w2 = 0.50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cs/>
                              </w:rPr>
                              <w:t xml:space="preserve">จะได้ </w:t>
                            </w:r>
                            <w:proofErr w:type="spellStart"/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>R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vertAlign w:val="subscript"/>
                              </w:rPr>
                              <w:t>overall</w:t>
                            </w:r>
                            <w:proofErr w:type="spellEnd"/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 xml:space="preserve"> = (12×0.50) + (6×0.50) = 9</w:t>
                            </w:r>
                          </w:p>
                          <w:p w14:paraId="48E62511" w14:textId="77777777" w:rsidR="00323C73" w:rsidRPr="00682273" w:rsidRDefault="00323C73" w:rsidP="00323C73">
                            <w:pPr>
                              <w:numPr>
                                <w:ilvl w:val="0"/>
                                <w:numId w:val="161"/>
                              </w:numPr>
                              <w:tabs>
                                <w:tab w:val="left" w:pos="284"/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</w:pP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cs/>
                              </w:rPr>
                              <w:t xml:space="preserve">กำหนด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 xml:space="preserve">w1 = 0.70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cs/>
                              </w:rPr>
                              <w:t xml:space="preserve">และ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 xml:space="preserve">w2 = 0.30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cs/>
                              </w:rPr>
                              <w:t xml:space="preserve">จะได้ </w:t>
                            </w:r>
                            <w:proofErr w:type="spellStart"/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>R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vertAlign w:val="subscript"/>
                              </w:rPr>
                              <w:t>overall</w:t>
                            </w:r>
                            <w:proofErr w:type="spellEnd"/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 xml:space="preserve"> = (12×0.70) + (6×0.30) = 10.2</w:t>
                            </w:r>
                          </w:p>
                          <w:p w14:paraId="31432113" w14:textId="033CA72D" w:rsidR="00323C73" w:rsidRPr="00682273" w:rsidRDefault="00323C73" w:rsidP="00323C73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</w:pP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cs/>
                              </w:rPr>
                              <w:t xml:space="preserve">จากนั้นให้นำค่า </w:t>
                            </w:r>
                            <w:proofErr w:type="spellStart"/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>R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vertAlign w:val="subscript"/>
                              </w:rPr>
                              <w:t>overall</w:t>
                            </w:r>
                            <w:proofErr w:type="spellEnd"/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 xml:space="preserve">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cs/>
                              </w:rPr>
                              <w:t>ไปแปลผลเป็นระดับความเสี่ยงตามช่วงคะแนนที่หน่วยงานกำหนด</w:t>
                            </w:r>
                          </w:p>
                          <w:p w14:paraId="7651E8B2" w14:textId="14E1727F" w:rsidR="00323C73" w:rsidRPr="00682273" w:rsidRDefault="00323C73" w:rsidP="00AA00FA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cs/>
                              </w:rPr>
                            </w:pPr>
                            <w:r w:rsidRPr="006822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CC"/>
                                <w:sz w:val="28"/>
                                <w:cs/>
                              </w:rPr>
                              <w:t>ข้อดี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 xml:space="preserve">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cs/>
                              </w:rPr>
                              <w:t>สะท้อนภาพรวมตามสัดส่วนหรือความสำคัญของแต่ละกรณีย่อยได้เหมาะสม</w:t>
                            </w:r>
                            <w:r w:rsidRPr="00682273">
                              <w:rPr>
                                <w:rFonts w:ascii="TH SarabunPSK" w:hAnsi="TH SarabunPSK" w:cs="TH SarabunPSK" w:hint="cs"/>
                                <w:color w:val="0000CC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  <w:cs/>
                              </w:rPr>
                              <w:t>ช่วยกำหนดมาตรการและจัดสรรทรัพยากรได้ตรงจุดเหมาะกับความเสี่ยงที่แบ่งตามสัดส่วนได้ เช่น รายได้หลายแหล่ง โครงการหลายส่วน หรือกระบวนงานหลายหน่วย</w:t>
                            </w:r>
                            <w:r w:rsidR="00AA00FA" w:rsidRPr="00682273">
                              <w:rPr>
                                <w:rFonts w:ascii="TH SarabunPSK" w:hAnsi="TH SarabunPSK" w:cs="TH SarabunPSK"/>
                                <w:color w:val="0000CC"/>
                                <w:sz w:val="28"/>
                              </w:rPr>
                              <w:t xml:space="preserve"> (HM Treasury, 2023; International Organization for Standardization, 2009)</w:t>
                            </w:r>
                          </w:p>
                          <w:p w14:paraId="78778C84" w14:textId="77777777" w:rsidR="00323C73" w:rsidRPr="00323C73" w:rsidRDefault="00323C73" w:rsidP="00323C73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CC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17652" id="Text Box 1" o:spid="_x0000_s1027" type="#_x0000_t202" style="position:absolute;left:0;text-align:left;margin-left:-22.3pt;margin-top:8.9pt;width:514.2pt;height:23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" fillcolor="#ffc" strokeweight=".5pt">
                <v:textbox>
                  <w:txbxContent>
                    <w:p w14:paraId="52CB9321" w14:textId="77777777" w:rsidR="00323C73" w:rsidRPr="00682273" w:rsidRDefault="00323C73" w:rsidP="00323C73">
                      <w:pPr>
                        <w:tabs>
                          <w:tab w:val="left" w:pos="284"/>
                          <w:tab w:val="left" w:pos="56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</w:pP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กรณีที่การประเมินความเสี่ยงมีมากกว่า 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 xml:space="preserve">1 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กรณีย่อย ให้คำนวณคะแนนความเสี่ยงรายกรณีจากสูตร 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 xml:space="preserve">R = L × I 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เช่น 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 xml:space="preserve">R1 = L1 × I1 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และ 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 xml:space="preserve">R2 = L2 × I2 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แล้วสรุปเป็นคะแนนภาพรวม (</w:t>
                      </w:r>
                      <w:proofErr w:type="spellStart"/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Roverall</w:t>
                      </w:r>
                      <w:proofErr w:type="spellEnd"/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 xml:space="preserve">) 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ได้ 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 xml:space="preserve">2 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วิธี ดังนี้</w:t>
                      </w:r>
                    </w:p>
                    <w:p w14:paraId="31ACE371" w14:textId="74F9AB6B" w:rsidR="00323C73" w:rsidRPr="00682273" w:rsidRDefault="00323C73" w:rsidP="00323C73">
                      <w:pPr>
                        <w:tabs>
                          <w:tab w:val="left" w:pos="284"/>
                          <w:tab w:val="left" w:pos="56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CC"/>
                          <w:sz w:val="28"/>
                        </w:rPr>
                      </w:pP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วิธีที่ 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 xml:space="preserve">1 </w:t>
                      </w:r>
                      <w:proofErr w:type="spellStart"/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>R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vertAlign w:val="subscript"/>
                        </w:rPr>
                        <w:t>overall</w:t>
                      </w:r>
                      <w:proofErr w:type="spellEnd"/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</w:rPr>
                        <w:t xml:space="preserve"> = MAX(R1, R2)</w:t>
                      </w:r>
                      <w:r w:rsidRPr="00682273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</w:t>
                      </w:r>
                      <w:r w:rsidRPr="00682273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ให้ใช้คะแนนที่สูงที่สุดเป็นคะแนนภาพรวม เพื่อไม่ให้พลาดกรณีที่มีความเสี่ยงสูงสุด</w:t>
                      </w:r>
                      <w:r w:rsidRPr="00682273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br/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cs/>
                        </w:rPr>
                        <w:t>ข้อดี</w:t>
                      </w:r>
                      <w:r w:rsidRPr="00682273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</w:t>
                      </w:r>
                      <w:r w:rsidRPr="00682273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เน้นคุมความเสี่ยงกรณีรุนแรงที่สุด ลดโอกาสพลาดเหตุการณ์สำคัญ</w:t>
                      </w:r>
                      <w:r w:rsidRPr="00682273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</w:t>
                      </w:r>
                      <w:r w:rsidRPr="00682273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คำนวณง่าย ชัดเจน ตรวจสอบได้</w:t>
                      </w:r>
                      <w:r w:rsidRPr="00682273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</w:t>
                      </w:r>
                      <w:r w:rsidRPr="00682273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ช่วยจัดลำดับความเร่งด่วน โดยเร่งแก้กรณีที่คะแนนสูงสุดก่อน</w:t>
                      </w:r>
                      <w:r w:rsidRPr="00682273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</w:t>
                      </w:r>
                      <w:r w:rsidRPr="00682273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เหมาะกับความเสี่ยงผลกระทบสูง เช่น กฎหมาย ความปลอดภัย ชื่อเสียง และจริยธรรม</w:t>
                      </w:r>
                    </w:p>
                    <w:p w14:paraId="39AA95DB" w14:textId="6B52395F" w:rsidR="00323C73" w:rsidRPr="00682273" w:rsidRDefault="00323C73" w:rsidP="00323C73">
                      <w:pPr>
                        <w:tabs>
                          <w:tab w:val="left" w:pos="284"/>
                          <w:tab w:val="left" w:pos="56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</w:pP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CC"/>
                          <w:sz w:val="28"/>
                          <w:cs/>
                        </w:rPr>
                        <w:t xml:space="preserve">วิธีที่ 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CC"/>
                          <w:sz w:val="28"/>
                        </w:rPr>
                        <w:t xml:space="preserve">2 </w:t>
                      </w:r>
                      <w:proofErr w:type="spellStart"/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CC"/>
                          <w:sz w:val="28"/>
                        </w:rPr>
                        <w:t>R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CC"/>
                          <w:sz w:val="28"/>
                          <w:vertAlign w:val="subscript"/>
                        </w:rPr>
                        <w:t>overall</w:t>
                      </w:r>
                      <w:proofErr w:type="spellEnd"/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CC"/>
                          <w:sz w:val="28"/>
                        </w:rPr>
                        <w:t xml:space="preserve"> 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CC"/>
                          <w:sz w:val="28"/>
                          <w:cs/>
                        </w:rPr>
                        <w:t>แบบถ่วงน้ำหนัก (</w:t>
                      </w: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CC"/>
                          <w:sz w:val="28"/>
                        </w:rPr>
                        <w:t>Weighted)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 xml:space="preserve">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cs/>
                        </w:rPr>
                        <w:t>ให้ถ่วงน้ำหนักคะแนนความเสี่ยงของแต่ละกรณีย่อยตามความสำคัญหรือสัดส่วนงาน โดยคำนวณจาก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 xml:space="preserve"> </w:t>
                      </w:r>
                      <w:proofErr w:type="spellStart"/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>R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vertAlign w:val="subscript"/>
                        </w:rPr>
                        <w:t>overall</w:t>
                      </w:r>
                      <w:proofErr w:type="spellEnd"/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 xml:space="preserve"> = (R1×w1) + (R2×w2)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cs/>
                        </w:rPr>
                        <w:t xml:space="preserve">โดย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>w1 + w2 = 1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br/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cs/>
                        </w:rPr>
                        <w:t xml:space="preserve">ตัวอย่าง เมื่อ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 xml:space="preserve">R1 = 12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cs/>
                        </w:rPr>
                        <w:t xml:space="preserve">และ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>R2 = 6</w:t>
                      </w:r>
                    </w:p>
                    <w:p w14:paraId="6043D1CA" w14:textId="77777777" w:rsidR="00323C73" w:rsidRPr="00682273" w:rsidRDefault="00323C73" w:rsidP="00323C73">
                      <w:pPr>
                        <w:numPr>
                          <w:ilvl w:val="0"/>
                          <w:numId w:val="161"/>
                        </w:numPr>
                        <w:tabs>
                          <w:tab w:val="left" w:pos="284"/>
                          <w:tab w:val="left" w:pos="56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</w:pP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cs/>
                        </w:rPr>
                        <w:t xml:space="preserve">กำหนด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 xml:space="preserve">w1 = 0.50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cs/>
                        </w:rPr>
                        <w:t xml:space="preserve">และ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 xml:space="preserve">w2 = 0.50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cs/>
                        </w:rPr>
                        <w:t xml:space="preserve">จะได้ </w:t>
                      </w:r>
                      <w:proofErr w:type="spellStart"/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>R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vertAlign w:val="subscript"/>
                        </w:rPr>
                        <w:t>overall</w:t>
                      </w:r>
                      <w:proofErr w:type="spellEnd"/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 xml:space="preserve"> = (12×0.50) + (6×0.50) = 9</w:t>
                      </w:r>
                    </w:p>
                    <w:p w14:paraId="48E62511" w14:textId="77777777" w:rsidR="00323C73" w:rsidRPr="00682273" w:rsidRDefault="00323C73" w:rsidP="00323C73">
                      <w:pPr>
                        <w:numPr>
                          <w:ilvl w:val="0"/>
                          <w:numId w:val="161"/>
                        </w:numPr>
                        <w:tabs>
                          <w:tab w:val="left" w:pos="284"/>
                          <w:tab w:val="left" w:pos="56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</w:pP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cs/>
                        </w:rPr>
                        <w:t xml:space="preserve">กำหนด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 xml:space="preserve">w1 = 0.70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cs/>
                        </w:rPr>
                        <w:t xml:space="preserve">และ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 xml:space="preserve">w2 = 0.30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cs/>
                        </w:rPr>
                        <w:t xml:space="preserve">จะได้ </w:t>
                      </w:r>
                      <w:proofErr w:type="spellStart"/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>R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vertAlign w:val="subscript"/>
                        </w:rPr>
                        <w:t>overall</w:t>
                      </w:r>
                      <w:proofErr w:type="spellEnd"/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 xml:space="preserve"> = (12×0.70) + (6×0.30) = 10.2</w:t>
                      </w:r>
                    </w:p>
                    <w:p w14:paraId="31432113" w14:textId="033CA72D" w:rsidR="00323C73" w:rsidRPr="00682273" w:rsidRDefault="00323C73" w:rsidP="00323C73">
                      <w:pPr>
                        <w:tabs>
                          <w:tab w:val="left" w:pos="284"/>
                          <w:tab w:val="left" w:pos="56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</w:pP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cs/>
                        </w:rPr>
                        <w:t xml:space="preserve">จากนั้นให้นำค่า </w:t>
                      </w:r>
                      <w:proofErr w:type="spellStart"/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>R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vertAlign w:val="subscript"/>
                        </w:rPr>
                        <w:t>overall</w:t>
                      </w:r>
                      <w:proofErr w:type="spellEnd"/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 xml:space="preserve">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cs/>
                        </w:rPr>
                        <w:t>ไปแปลผลเป็นระดับความเสี่ยงตามช่วงคะแนนที่หน่วยงานกำหนด</w:t>
                      </w:r>
                    </w:p>
                    <w:p w14:paraId="7651E8B2" w14:textId="14E1727F" w:rsidR="00323C73" w:rsidRPr="00682273" w:rsidRDefault="00323C73" w:rsidP="00AA00FA">
                      <w:pPr>
                        <w:tabs>
                          <w:tab w:val="left" w:pos="284"/>
                          <w:tab w:val="left" w:pos="56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color w:val="0000CC"/>
                          <w:sz w:val="28"/>
                          <w:cs/>
                        </w:rPr>
                      </w:pPr>
                      <w:r w:rsidRPr="00682273">
                        <w:rPr>
                          <w:rFonts w:ascii="TH SarabunPSK" w:hAnsi="TH SarabunPSK" w:cs="TH SarabunPSK"/>
                          <w:b/>
                          <w:bCs/>
                          <w:color w:val="0000CC"/>
                          <w:sz w:val="28"/>
                          <w:cs/>
                        </w:rPr>
                        <w:t>ข้อดี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 xml:space="preserve">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cs/>
                        </w:rPr>
                        <w:t>สะท้อนภาพรวมตามสัดส่วนหรือความสำคัญของแต่ละกรณีย่อยได้เหมาะสม</w:t>
                      </w:r>
                      <w:r w:rsidRPr="00682273">
                        <w:rPr>
                          <w:rFonts w:ascii="TH SarabunPSK" w:hAnsi="TH SarabunPSK" w:cs="TH SarabunPSK" w:hint="cs"/>
                          <w:color w:val="0000CC"/>
                          <w:sz w:val="28"/>
                          <w:cs/>
                        </w:rPr>
                        <w:t xml:space="preserve"> </w:t>
                      </w:r>
                      <w:r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  <w:cs/>
                        </w:rPr>
                        <w:t>ช่วยกำหนดมาตรการและจัดสรรทรัพยากรได้ตรงจุดเหมาะกับความเสี่ยงที่แบ่งตามสัดส่วนได้ เช่น รายได้หลายแหล่ง โครงการหลายส่วน หรือกระบวนงานหลายหน่วย</w:t>
                      </w:r>
                      <w:r w:rsidR="00AA00FA" w:rsidRPr="00682273">
                        <w:rPr>
                          <w:rFonts w:ascii="TH SarabunPSK" w:hAnsi="TH SarabunPSK" w:cs="TH SarabunPSK"/>
                          <w:color w:val="0000CC"/>
                          <w:sz w:val="28"/>
                        </w:rPr>
                        <w:t xml:space="preserve"> (HM Treasury, 2023; International Organization for Standardization, 2009)</w:t>
                      </w:r>
                    </w:p>
                    <w:p w14:paraId="78778C84" w14:textId="77777777" w:rsidR="00323C73" w:rsidRPr="00323C73" w:rsidRDefault="00323C73" w:rsidP="00323C73">
                      <w:pPr>
                        <w:tabs>
                          <w:tab w:val="left" w:pos="284"/>
                          <w:tab w:val="left" w:pos="567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color w:val="0000CC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642CB4" w14:textId="6776E2C6" w:rsidR="005B222F" w:rsidRDefault="005B222F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</w:p>
    <w:p w14:paraId="483445FB" w14:textId="5134C957" w:rsidR="00D14AD5" w:rsidRPr="008A04D3" w:rsidRDefault="00D14AD5" w:rsidP="003B47A9">
      <w:pPr>
        <w:pStyle w:val="a9"/>
        <w:numPr>
          <w:ilvl w:val="0"/>
          <w:numId w:val="148"/>
        </w:num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A04D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กิจกรรม/มาตรการควบคุมความเสี่ยง</w:t>
      </w:r>
    </w:p>
    <w:tbl>
      <w:tblPr>
        <w:tblStyle w:val="af5"/>
        <w:tblW w:w="5000" w:type="pct"/>
        <w:jc w:val="center"/>
        <w:tblLook w:val="04A0" w:firstRow="1" w:lastRow="0" w:firstColumn="1" w:lastColumn="0" w:noHBand="0" w:noVBand="1"/>
      </w:tblPr>
      <w:tblGrid>
        <w:gridCol w:w="5408"/>
        <w:gridCol w:w="3609"/>
      </w:tblGrid>
      <w:tr w:rsidR="008F4AE5" w:rsidRPr="008F4AE5" w14:paraId="61EA1556" w14:textId="77777777" w:rsidTr="006C74CB">
        <w:trPr>
          <w:tblHeader/>
          <w:jc w:val="center"/>
        </w:trPr>
        <w:tc>
          <w:tcPr>
            <w:tcW w:w="2999" w:type="pct"/>
          </w:tcPr>
          <w:p w14:paraId="186D88A0" w14:textId="2D0B35DF" w:rsidR="00D14AD5" w:rsidRPr="008F4AE5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F4AE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กิจกรรม/มาตรการควบคุมความเสี่ยง</w:t>
            </w:r>
          </w:p>
        </w:tc>
        <w:tc>
          <w:tcPr>
            <w:tcW w:w="2001" w:type="pct"/>
          </w:tcPr>
          <w:p w14:paraId="3D1F1ED1" w14:textId="77777777" w:rsidR="00D14AD5" w:rsidRPr="008F4AE5" w:rsidRDefault="00D14AD5" w:rsidP="006C74C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F4AE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หน่วยงานสนับสนุนและรายงานผล</w:t>
            </w:r>
          </w:p>
          <w:p w14:paraId="6DEE16B5" w14:textId="77777777" w:rsidR="00D14AD5" w:rsidRPr="008F4AE5" w:rsidRDefault="00D14AD5" w:rsidP="006C74CB">
            <w:pPr>
              <w:pStyle w:val="a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F4AE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8F4AE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Data Owner)</w:t>
            </w:r>
          </w:p>
        </w:tc>
      </w:tr>
      <w:tr w:rsidR="008F4AE5" w:rsidRPr="008F4AE5" w14:paraId="58CE3237" w14:textId="77777777" w:rsidTr="006C74CB">
        <w:trPr>
          <w:jc w:val="center"/>
        </w:trPr>
        <w:tc>
          <w:tcPr>
            <w:tcW w:w="2999" w:type="pct"/>
          </w:tcPr>
          <w:p w14:paraId="6C41808C" w14:textId="34FAB0D1" w:rsidR="00D14AD5" w:rsidRPr="00A6335F" w:rsidRDefault="00D14AD5" w:rsidP="006C7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</w:pPr>
            <w:r w:rsidRPr="00A6335F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1)</w:t>
            </w:r>
            <w:r w:rsidRPr="00A6335F">
              <w:rPr>
                <w:rFonts w:ascii="TH SarabunPSK" w:eastAsia="TH Sarabun 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A6335F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="005B222F" w:rsidRPr="00A6335F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จัดทำแผนรายได้ของคณะรายปีและรายไตรมาส แยกตามแหล่งรายได้ พร้อมรายงานรายได้จริงเทียบแผนต่อผู้บริหารตามรอบที่กำหนด</w:t>
            </w:r>
          </w:p>
        </w:tc>
        <w:tc>
          <w:tcPr>
            <w:tcW w:w="2001" w:type="pct"/>
          </w:tcPr>
          <w:p w14:paraId="27ED61D0" w14:textId="735DDE23" w:rsidR="00D14AD5" w:rsidRPr="00A6335F" w:rsidRDefault="00A658DE" w:rsidP="006C74CB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.............................</w:t>
            </w:r>
          </w:p>
        </w:tc>
      </w:tr>
      <w:tr w:rsidR="008F4AE5" w:rsidRPr="008F4AE5" w14:paraId="7C9653E3" w14:textId="77777777" w:rsidTr="006C74CB">
        <w:trPr>
          <w:jc w:val="center"/>
        </w:trPr>
        <w:tc>
          <w:tcPr>
            <w:tcW w:w="2999" w:type="pct"/>
          </w:tcPr>
          <w:p w14:paraId="79695705" w14:textId="4F90793F" w:rsidR="00D14AD5" w:rsidRPr="00A6335F" w:rsidRDefault="00D14AD5" w:rsidP="006C7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</w:pPr>
            <w:r w:rsidRPr="00A6335F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2)</w:t>
            </w:r>
            <w:r w:rsidRPr="00A6335F">
              <w:rPr>
                <w:rFonts w:ascii="TH SarabunPSK" w:eastAsia="TH Sarabun 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A6335F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="00A658DE" w:rsidRPr="00A6335F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 xml:space="preserve">ใช้เกณฑ์ </w:t>
            </w:r>
            <w:r w:rsidR="00A658DE" w:rsidRPr="00A6335F"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  <w:t xml:space="preserve">KRI </w:t>
            </w:r>
            <w:r w:rsidR="00A658DE" w:rsidRPr="00A6335F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 xml:space="preserve">ที่กำหนดไว้เป็นกลไกกำกับติดตาม โดยติดตามค่า </w:t>
            </w:r>
            <w:r w:rsidR="00A658DE" w:rsidRPr="00A6335F"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  <w:t xml:space="preserve">KRI </w:t>
            </w:r>
            <w:r w:rsidR="00A658DE" w:rsidRPr="00A6335F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 xml:space="preserve">ตามรอบรายงาน จัดทำสรุปสถานการณ์รายได้ เทียบเป้าหมายและเทียบเกณฑ์เตือนภัย พร้อมเสนอแผนฟื้นฟูรายได้และการยกระดับมาตรการเมื่อค่า </w:t>
            </w:r>
            <w:r w:rsidR="00A658DE" w:rsidRPr="00A6335F">
              <w:rPr>
                <w:rFonts w:ascii="TH SarabunPSK" w:eastAsia="TH Sarabun PSK" w:hAnsi="TH SarabunPSK" w:cs="TH SarabunPSK"/>
                <w:color w:val="EE0000"/>
                <w:sz w:val="32"/>
                <w:szCs w:val="32"/>
              </w:rPr>
              <w:t xml:space="preserve">KRI </w:t>
            </w:r>
            <w:r w:rsidR="00A658DE" w:rsidRPr="00A6335F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เข้าเกณฑ์ความเบี่ยงเบนหรือเพดานความเสี่ยง</w:t>
            </w:r>
          </w:p>
        </w:tc>
        <w:tc>
          <w:tcPr>
            <w:tcW w:w="2001" w:type="pct"/>
          </w:tcPr>
          <w:p w14:paraId="593C625C" w14:textId="341E7525" w:rsidR="00D14AD5" w:rsidRPr="00A6335F" w:rsidRDefault="00A658DE" w:rsidP="006C74CB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.............................</w:t>
            </w:r>
          </w:p>
        </w:tc>
      </w:tr>
      <w:tr w:rsidR="008F4AE5" w:rsidRPr="008F4AE5" w14:paraId="2B386325" w14:textId="77777777" w:rsidTr="006C74CB">
        <w:trPr>
          <w:jc w:val="center"/>
        </w:trPr>
        <w:tc>
          <w:tcPr>
            <w:tcW w:w="2999" w:type="pct"/>
          </w:tcPr>
          <w:p w14:paraId="2E1D1DF5" w14:textId="611EDE90" w:rsidR="00D14AD5" w:rsidRPr="00A6335F" w:rsidRDefault="00A658DE" w:rsidP="00A65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Times New Roman" w:hAnsi="TH SarabunPSK" w:cs="TH SarabunPSK"/>
                <w:color w:val="EE0000"/>
                <w:sz w:val="32"/>
                <w:szCs w:val="32"/>
                <w:cs/>
              </w:rPr>
            </w:pPr>
            <w:r w:rsidRPr="00A6335F">
              <w:rPr>
                <w:rFonts w:ascii="TH SarabunPSK" w:eastAsia="TH Sarabun PSK" w:hAnsi="TH SarabunPSK" w:cs="TH SarabunPSK" w:hint="cs"/>
                <w:color w:val="EE0000"/>
                <w:sz w:val="32"/>
                <w:szCs w:val="32"/>
                <w:cs/>
              </w:rPr>
              <w:t>3</w:t>
            </w:r>
            <w:r w:rsidR="00D14AD5" w:rsidRPr="00A6335F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 xml:space="preserve">) </w:t>
            </w:r>
            <w:r w:rsidR="00D14AD5" w:rsidRPr="00A6335F">
              <w:rPr>
                <w:rFonts w:ascii="TH SarabunPSK" w:eastAsia="TH Sarabun PSK" w:hAnsi="TH SarabunPSK" w:cs="TH SarabunPSK" w:hint="cs"/>
                <w:color w:val="EE0000"/>
                <w:sz w:val="32"/>
                <w:szCs w:val="32"/>
                <w:cs/>
              </w:rPr>
              <w:t xml:space="preserve"> </w:t>
            </w:r>
            <w:r w:rsidRPr="00A6335F">
              <w:rPr>
                <w:rFonts w:ascii="TH SarabunPSK" w:eastAsia="TH Sarabun PSK" w:hAnsi="TH SarabunPSK" w:cs="TH SarabunPSK"/>
                <w:color w:val="EE0000"/>
                <w:sz w:val="32"/>
                <w:szCs w:val="32"/>
                <w:cs/>
              </w:rPr>
              <w:t>จัดทำแผนรับนักศึกษาเชิงรุกและแผนสื่อสารการตลาดหลักสูตรแบบมุ่งเป้ากลุ่มผู้เรียน พร้อมวิเคราะห์ข้อมูลผู้สมัครถึงผู้ลงทะเบียนจริงรายหลักสูตร</w:t>
            </w:r>
          </w:p>
        </w:tc>
        <w:tc>
          <w:tcPr>
            <w:tcW w:w="2001" w:type="pct"/>
          </w:tcPr>
          <w:p w14:paraId="2E130876" w14:textId="0F80CD08" w:rsidR="00D14AD5" w:rsidRPr="00A6335F" w:rsidRDefault="00A658DE" w:rsidP="006C74CB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.............................</w:t>
            </w:r>
          </w:p>
        </w:tc>
      </w:tr>
      <w:tr w:rsidR="008F4AE5" w:rsidRPr="008F4AE5" w14:paraId="528F226F" w14:textId="77777777" w:rsidTr="006C74CB">
        <w:trPr>
          <w:jc w:val="center"/>
        </w:trPr>
        <w:tc>
          <w:tcPr>
            <w:tcW w:w="2999" w:type="pct"/>
          </w:tcPr>
          <w:p w14:paraId="2D4058D6" w14:textId="5EB63E20" w:rsidR="00D14AD5" w:rsidRPr="00A6335F" w:rsidRDefault="00A658DE" w:rsidP="006C74CB">
            <w:pPr>
              <w:spacing w:line="240" w:lineRule="auto"/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</w:pPr>
            <w:r w:rsidRPr="00A6335F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cs/>
              </w:rPr>
              <w:t xml:space="preserve">4) </w:t>
            </w:r>
            <w:r w:rsidRPr="00A6335F"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  <w:t>ดำเนินมาตรการรักษาฐานนักศึกษา โดยติดตามความเสี่ยงการลาออก การค้างชำระ และจัดทำรายงานอัตราการคงอยู่ของผู้เรียนรายภาคการศึกษา พร้อมมาตรการช่วยเหลือเชิงป้องกัน</w:t>
            </w:r>
          </w:p>
        </w:tc>
        <w:tc>
          <w:tcPr>
            <w:tcW w:w="2001" w:type="pct"/>
          </w:tcPr>
          <w:p w14:paraId="189CCDC8" w14:textId="5B467569" w:rsidR="00D14AD5" w:rsidRPr="00A6335F" w:rsidRDefault="00A658DE" w:rsidP="006C74CB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.............................</w:t>
            </w:r>
          </w:p>
        </w:tc>
      </w:tr>
      <w:tr w:rsidR="00D14AD5" w:rsidRPr="008F4AE5" w14:paraId="1DB84302" w14:textId="77777777" w:rsidTr="006C74CB">
        <w:trPr>
          <w:jc w:val="center"/>
        </w:trPr>
        <w:tc>
          <w:tcPr>
            <w:tcW w:w="2999" w:type="pct"/>
          </w:tcPr>
          <w:p w14:paraId="15C4042D" w14:textId="2E08700E" w:rsidR="00D14AD5" w:rsidRPr="00A6335F" w:rsidRDefault="00A46DF7" w:rsidP="00A658DE">
            <w:pPr>
              <w:spacing w:line="240" w:lineRule="auto"/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</w:pPr>
            <w:r w:rsidRPr="00A6335F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cs/>
              </w:rPr>
              <w:t xml:space="preserve">5) </w:t>
            </w:r>
            <w:r w:rsidRPr="00A6335F"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  <w:t>พัฒนาและขับเคลื่อน</w:t>
            </w:r>
            <w:r w:rsidRPr="00135C91"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  <w:t>แผนผังบริการและอัตราค่าบริการ</w:t>
            </w:r>
            <w:r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cs/>
              </w:rPr>
              <w:t>ของคณะ</w:t>
            </w:r>
            <w:r w:rsidRPr="00A6335F"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  <w:t xml:space="preserve"> เช่น การทดสอบมาตรฐาน การฝึกอบรมระยะสั้น และบริการที่ปรึกษา พร้อมติดตามรายได้รายไตรมาสและปรับมาตรการเฉพาะประเด็น</w:t>
            </w:r>
          </w:p>
        </w:tc>
        <w:tc>
          <w:tcPr>
            <w:tcW w:w="2001" w:type="pct"/>
          </w:tcPr>
          <w:p w14:paraId="1BE0E4DA" w14:textId="39131E41" w:rsidR="00D14AD5" w:rsidRPr="00A6335F" w:rsidRDefault="00A658DE" w:rsidP="006C74CB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.............................</w:t>
            </w:r>
          </w:p>
        </w:tc>
      </w:tr>
      <w:tr w:rsidR="005B222F" w:rsidRPr="008F4AE5" w14:paraId="5A10CE90" w14:textId="77777777" w:rsidTr="006C74CB">
        <w:trPr>
          <w:jc w:val="center"/>
        </w:trPr>
        <w:tc>
          <w:tcPr>
            <w:tcW w:w="2999" w:type="pct"/>
          </w:tcPr>
          <w:p w14:paraId="61D9B955" w14:textId="38007F24" w:rsidR="005B222F" w:rsidRPr="00A6335F" w:rsidRDefault="00A658DE" w:rsidP="006C74CB">
            <w:pPr>
              <w:spacing w:line="240" w:lineRule="auto"/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</w:pPr>
            <w:r w:rsidRPr="00A6335F">
              <w:rPr>
                <w:rFonts w:ascii="TH SarabunPSK" w:eastAsia="Calibri" w:hAnsi="TH SarabunPSK" w:cs="TH SarabunPSK" w:hint="cs"/>
                <w:color w:val="EE0000"/>
                <w:sz w:val="32"/>
                <w:szCs w:val="32"/>
                <w:cs/>
              </w:rPr>
              <w:t xml:space="preserve">6) </w:t>
            </w:r>
            <w:r w:rsidRPr="00A6335F">
              <w:rPr>
                <w:rFonts w:ascii="TH SarabunPSK" w:eastAsia="Calibri" w:hAnsi="TH SarabunPSK" w:cs="TH SarabunPSK"/>
                <w:color w:val="EE0000"/>
                <w:sz w:val="32"/>
                <w:szCs w:val="32"/>
                <w:cs/>
              </w:rPr>
              <w:t>จัดทำแผนควบคุมรายจ่าย ติดตามการเบิกจ่ายรายเดือน วิเคราะห์ความเบี่ยงเบนจากแผน และคำนวณอัตราส่วนรายได้ต่อรายจ่ายของคณะเพื่อรายงานผู้บริหารและคณะกรรมการบริหารความเสี่ยง</w:t>
            </w:r>
          </w:p>
        </w:tc>
        <w:tc>
          <w:tcPr>
            <w:tcW w:w="2001" w:type="pct"/>
          </w:tcPr>
          <w:p w14:paraId="78A7D7DA" w14:textId="2D7C66AD" w:rsidR="005B222F" w:rsidRPr="00A6335F" w:rsidRDefault="00A658DE" w:rsidP="006C74CB">
            <w:pPr>
              <w:pStyle w:val="a9"/>
              <w:ind w:left="0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A6335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.............................</w:t>
            </w:r>
          </w:p>
        </w:tc>
      </w:tr>
    </w:tbl>
    <w:p w14:paraId="4AC74876" w14:textId="77777777" w:rsidR="00D63D51" w:rsidRPr="008F4AE5" w:rsidRDefault="00D63D51" w:rsidP="00D14AD5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278AD3" w14:textId="77777777" w:rsidR="00C1027F" w:rsidRPr="00C765FD" w:rsidRDefault="00C1027F" w:rsidP="00C1027F">
      <w:pPr>
        <w:pStyle w:val="a9"/>
        <w:numPr>
          <w:ilvl w:val="0"/>
          <w:numId w:val="92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765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ผู้รับผิดชอบหลักของประเด็นความเสี่ยง (</w:t>
      </w:r>
      <w:r w:rsidRPr="00C765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Risk Owner)</w:t>
      </w:r>
    </w:p>
    <w:p w14:paraId="751CE529" w14:textId="77777777" w:rsidR="00D14AD5" w:rsidRPr="00A6335F" w:rsidRDefault="00D14AD5" w:rsidP="00D14AD5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TH Sarabun PSK" w:hAnsi="TH SarabunPSK" w:cs="TH SarabunPSK"/>
          <w:color w:val="EE0000"/>
          <w:sz w:val="32"/>
          <w:szCs w:val="32"/>
        </w:rPr>
      </w:pPr>
      <w:r w:rsidRPr="00A6335F">
        <w:rPr>
          <w:rFonts w:ascii="TH SarabunPSK" w:eastAsia="TH Sarabun PSK" w:hAnsi="TH SarabunPSK" w:cs="TH SarabunPSK"/>
          <w:color w:val="EE0000"/>
          <w:sz w:val="32"/>
          <w:szCs w:val="32"/>
          <w:cs/>
        </w:rPr>
        <w:t>1)</w:t>
      </w:r>
      <w:r w:rsidRPr="00A6335F">
        <w:rPr>
          <w:rFonts w:ascii="TH SarabunPSK" w:eastAsia="TH Sarabun PSK" w:hAnsi="TH SarabunPSK" w:cs="TH SarabunPSK" w:hint="cs"/>
          <w:color w:val="EE0000"/>
          <w:sz w:val="32"/>
          <w:szCs w:val="32"/>
          <w:cs/>
        </w:rPr>
        <w:t xml:space="preserve"> </w:t>
      </w:r>
      <w:r w:rsidRPr="00A6335F">
        <w:rPr>
          <w:rFonts w:ascii="TH SarabunPSK" w:eastAsia="TH Sarabun PSK" w:hAnsi="TH SarabunPSK" w:cs="TH SarabunPSK"/>
          <w:color w:val="EE0000"/>
          <w:sz w:val="32"/>
          <w:szCs w:val="32"/>
          <w:cs/>
        </w:rPr>
        <w:t xml:space="preserve"> </w:t>
      </w:r>
      <w:r w:rsidRPr="00A6335F">
        <w:rPr>
          <w:rFonts w:ascii="TH SarabunPSK" w:eastAsia="TH Sarabun PSK" w:hAnsi="TH SarabunPSK" w:cs="TH SarabunPSK" w:hint="cs"/>
          <w:color w:val="EE0000"/>
          <w:sz w:val="32"/>
          <w:szCs w:val="32"/>
          <w:cs/>
        </w:rPr>
        <w:t>......................................................</w:t>
      </w:r>
    </w:p>
    <w:p w14:paraId="7090478F" w14:textId="77777777" w:rsidR="00D14AD5" w:rsidRPr="00A6335F" w:rsidRDefault="00D14AD5" w:rsidP="00D14AD5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TH Sarabun PSK" w:hAnsi="TH SarabunPSK" w:cs="TH SarabunPSK"/>
          <w:color w:val="EE0000"/>
          <w:sz w:val="32"/>
          <w:szCs w:val="32"/>
        </w:rPr>
      </w:pPr>
      <w:r w:rsidRPr="00A6335F">
        <w:rPr>
          <w:rFonts w:ascii="TH SarabunPSK" w:eastAsia="TH Sarabun PSK" w:hAnsi="TH SarabunPSK" w:cs="TH SarabunPSK"/>
          <w:color w:val="EE0000"/>
          <w:sz w:val="32"/>
          <w:szCs w:val="32"/>
          <w:cs/>
        </w:rPr>
        <w:t>2)</w:t>
      </w:r>
      <w:r w:rsidRPr="00A6335F">
        <w:rPr>
          <w:rFonts w:ascii="TH SarabunPSK" w:eastAsia="TH Sarabun PSK" w:hAnsi="TH SarabunPSK" w:cs="TH SarabunPSK" w:hint="cs"/>
          <w:color w:val="EE0000"/>
          <w:sz w:val="32"/>
          <w:szCs w:val="32"/>
          <w:cs/>
        </w:rPr>
        <w:t xml:space="preserve"> </w:t>
      </w:r>
      <w:r w:rsidRPr="00A6335F">
        <w:rPr>
          <w:rFonts w:ascii="TH SarabunPSK" w:eastAsia="TH Sarabun PSK" w:hAnsi="TH SarabunPSK" w:cs="TH SarabunPSK"/>
          <w:color w:val="EE0000"/>
          <w:sz w:val="32"/>
          <w:szCs w:val="32"/>
          <w:cs/>
        </w:rPr>
        <w:t xml:space="preserve"> </w:t>
      </w:r>
      <w:r w:rsidRPr="00A6335F">
        <w:rPr>
          <w:rFonts w:ascii="TH SarabunPSK" w:eastAsia="TH Sarabun PSK" w:hAnsi="TH SarabunPSK" w:cs="TH SarabunPSK" w:hint="cs"/>
          <w:color w:val="EE0000"/>
          <w:sz w:val="32"/>
          <w:szCs w:val="32"/>
          <w:cs/>
        </w:rPr>
        <w:t>......................................................</w:t>
      </w:r>
    </w:p>
    <w:p w14:paraId="6A1627EA" w14:textId="10C9EBAE" w:rsidR="00D14AD5" w:rsidRPr="00A6335F" w:rsidRDefault="00D14AD5" w:rsidP="00D14AD5">
      <w:pPr>
        <w:pStyle w:val="a9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H SarabunPSK" w:eastAsia="Times New Roman" w:hAnsi="TH SarabunPSK" w:cs="TH SarabunPSK"/>
          <w:color w:val="EE0000"/>
          <w:sz w:val="32"/>
          <w:szCs w:val="32"/>
        </w:rPr>
      </w:pPr>
      <w:r w:rsidRPr="00A6335F">
        <w:rPr>
          <w:rFonts w:ascii="TH SarabunPSK" w:eastAsia="TH Sarabun PSK" w:hAnsi="TH SarabunPSK" w:cs="TH SarabunPSK"/>
          <w:color w:val="EE0000"/>
          <w:sz w:val="32"/>
          <w:szCs w:val="32"/>
        </w:rPr>
        <w:t>n</w:t>
      </w:r>
      <w:proofErr w:type="gramStart"/>
      <w:r w:rsidRPr="00A6335F">
        <w:rPr>
          <w:rFonts w:ascii="TH SarabunPSK" w:eastAsia="TH Sarabun PSK" w:hAnsi="TH SarabunPSK" w:cs="TH SarabunPSK"/>
          <w:color w:val="EE0000"/>
          <w:sz w:val="32"/>
          <w:szCs w:val="32"/>
          <w:cs/>
        </w:rPr>
        <w:t xml:space="preserve">) </w:t>
      </w:r>
      <w:r w:rsidRPr="00A6335F">
        <w:rPr>
          <w:rFonts w:ascii="TH SarabunPSK" w:eastAsia="TH Sarabun PSK" w:hAnsi="TH SarabunPSK" w:cs="TH SarabunPSK" w:hint="cs"/>
          <w:color w:val="EE0000"/>
          <w:sz w:val="32"/>
          <w:szCs w:val="32"/>
          <w:cs/>
        </w:rPr>
        <w:t xml:space="preserve"> ...</w:t>
      </w:r>
      <w:proofErr w:type="gramEnd"/>
      <w:r w:rsidRPr="00A6335F">
        <w:rPr>
          <w:rFonts w:ascii="TH SarabunPSK" w:eastAsia="TH Sarabun PSK" w:hAnsi="TH SarabunPSK" w:cs="TH SarabunPSK" w:hint="cs"/>
          <w:color w:val="EE0000"/>
          <w:sz w:val="32"/>
          <w:szCs w:val="32"/>
          <w:cs/>
        </w:rPr>
        <w:t>...................................................</w:t>
      </w:r>
    </w:p>
    <w:p w14:paraId="2F320AD0" w14:textId="3B84452D" w:rsidR="00E849E1" w:rsidRPr="00A6335F" w:rsidRDefault="00E849E1" w:rsidP="00E849E1">
      <w:pPr>
        <w:spacing w:line="240" w:lineRule="auto"/>
        <w:rPr>
          <w:rFonts w:ascii="TH SarabunPSK" w:hAnsi="TH SarabunPSK" w:cs="TH SarabunPSK"/>
          <w:color w:val="EE0000"/>
          <w:sz w:val="32"/>
          <w:szCs w:val="32"/>
          <w:cs/>
        </w:rPr>
      </w:pPr>
    </w:p>
    <w:sectPr w:rsidR="00E849E1" w:rsidRPr="00A6335F" w:rsidSect="00682273">
      <w:footerReference w:type="default" r:id="rId7"/>
      <w:headerReference w:type="first" r:id="rId8"/>
      <w:footerReference w:type="first" r:id="rId9"/>
      <w:pgSz w:w="11907" w:h="16840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B47F2" w14:textId="77777777" w:rsidR="00070377" w:rsidRDefault="00070377" w:rsidP="00456E2A">
      <w:pPr>
        <w:spacing w:after="0" w:line="240" w:lineRule="auto"/>
      </w:pPr>
      <w:r>
        <w:separator/>
      </w:r>
    </w:p>
  </w:endnote>
  <w:endnote w:type="continuationSeparator" w:id="0">
    <w:p w14:paraId="5C5C007F" w14:textId="77777777" w:rsidR="00070377" w:rsidRDefault="00070377" w:rsidP="0045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H Sarabun PSK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-Bold">
    <w:altName w:val="Browallia New"/>
    <w:panose1 w:val="00000000000000000000"/>
    <w:charset w:val="DE"/>
    <w:family w:val="auto"/>
    <w:notTrueType/>
    <w:pitch w:val="default"/>
    <w:sig w:usb0="A100006F" w:usb1="5000205A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75947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14:paraId="443D2E29" w14:textId="14D4D513" w:rsidR="0006334D" w:rsidRPr="0006334D" w:rsidRDefault="0006334D">
        <w:pPr>
          <w:pStyle w:val="af3"/>
          <w:jc w:val="center"/>
          <w:rPr>
            <w:rFonts w:ascii="TH SarabunPSK" w:hAnsi="TH SarabunPSK" w:cs="TH SarabunPSK"/>
            <w:sz w:val="28"/>
            <w:szCs w:val="36"/>
          </w:rPr>
        </w:pPr>
        <w:r w:rsidRPr="0006334D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06334D">
          <w:rPr>
            <w:rFonts w:ascii="TH SarabunPSK" w:hAnsi="TH SarabunPSK" w:cs="TH SarabunPSK"/>
            <w:sz w:val="28"/>
            <w:szCs w:val="36"/>
          </w:rPr>
          <w:instrText>PAGE   \* MERGEFORMAT</w:instrText>
        </w:r>
        <w:r w:rsidRPr="0006334D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06334D">
          <w:rPr>
            <w:rFonts w:ascii="TH SarabunPSK" w:hAnsi="TH SarabunPSK" w:cs="TH SarabunPSK"/>
            <w:sz w:val="28"/>
            <w:szCs w:val="36"/>
            <w:lang w:val="th-TH"/>
          </w:rPr>
          <w:t>2</w:t>
        </w:r>
        <w:r w:rsidRPr="0006334D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14:paraId="127F99D5" w14:textId="77777777" w:rsidR="0006334D" w:rsidRDefault="0006334D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32"/>
      </w:rPr>
      <w:id w:val="164700646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0AC12DD" w14:textId="77777777" w:rsidR="0095259C" w:rsidRPr="00682273" w:rsidRDefault="0095259C">
        <w:pPr>
          <w:pStyle w:val="af3"/>
          <w:jc w:val="center"/>
          <w:rPr>
            <w:rFonts w:ascii="TH SarabunPSK" w:hAnsi="TH SarabunPSK" w:cs="TH SarabunPSK"/>
            <w:sz w:val="28"/>
          </w:rPr>
        </w:pPr>
        <w:r w:rsidRPr="00682273">
          <w:rPr>
            <w:rFonts w:ascii="TH SarabunPSK" w:hAnsi="TH SarabunPSK" w:cs="TH SarabunPSK"/>
            <w:sz w:val="28"/>
          </w:rPr>
          <w:t>1</w:t>
        </w:r>
      </w:p>
    </w:sdtContent>
  </w:sdt>
  <w:p w14:paraId="045C7278" w14:textId="77777777" w:rsidR="0095259C" w:rsidRDefault="0095259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65E7" w14:textId="77777777" w:rsidR="00070377" w:rsidRDefault="00070377" w:rsidP="00456E2A">
      <w:pPr>
        <w:spacing w:after="0" w:line="240" w:lineRule="auto"/>
      </w:pPr>
      <w:r>
        <w:separator/>
      </w:r>
    </w:p>
  </w:footnote>
  <w:footnote w:type="continuationSeparator" w:id="0">
    <w:p w14:paraId="29C0CA6A" w14:textId="77777777" w:rsidR="00070377" w:rsidRDefault="00070377" w:rsidP="0045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2828" w14:textId="3EEEA767" w:rsidR="00134068" w:rsidRPr="00134068" w:rsidRDefault="00134068" w:rsidP="00134068">
    <w:pPr>
      <w:pStyle w:val="af1"/>
      <w:jc w:val="right"/>
      <w:rPr>
        <w:rFonts w:ascii="TH SarabunPSK" w:hAnsi="TH SarabunPSK" w:cs="TH SarabunPSK"/>
        <w:b/>
        <w:bCs/>
        <w:sz w:val="28"/>
      </w:rPr>
    </w:pPr>
    <w:r w:rsidRPr="00134068">
      <w:rPr>
        <w:rFonts w:ascii="TH SarabunPSK" w:hAnsi="TH SarabunPSK" w:cs="TH SarabunPSK"/>
        <w:b/>
        <w:bCs/>
        <w:sz w:val="28"/>
      </w:rPr>
      <w:t>Risk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37E"/>
    <w:multiLevelType w:val="hybridMultilevel"/>
    <w:tmpl w:val="844834E4"/>
    <w:lvl w:ilvl="0" w:tplc="92F8A1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1BEA"/>
    <w:multiLevelType w:val="hybridMultilevel"/>
    <w:tmpl w:val="3E6CFE5C"/>
    <w:lvl w:ilvl="0" w:tplc="040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1A41402"/>
    <w:multiLevelType w:val="hybridMultilevel"/>
    <w:tmpl w:val="6686A6BA"/>
    <w:lvl w:ilvl="0" w:tplc="1334FF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4A5E"/>
    <w:multiLevelType w:val="multilevel"/>
    <w:tmpl w:val="955E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3708EC"/>
    <w:multiLevelType w:val="hybridMultilevel"/>
    <w:tmpl w:val="D29C4F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F3A30"/>
    <w:multiLevelType w:val="hybridMultilevel"/>
    <w:tmpl w:val="8CC602F6"/>
    <w:lvl w:ilvl="0" w:tplc="E00CD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22CBE"/>
    <w:multiLevelType w:val="hybridMultilevel"/>
    <w:tmpl w:val="712C20AA"/>
    <w:lvl w:ilvl="0" w:tplc="181C638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F6AD7"/>
    <w:multiLevelType w:val="multilevel"/>
    <w:tmpl w:val="BBD2FD8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5D006F"/>
    <w:multiLevelType w:val="hybridMultilevel"/>
    <w:tmpl w:val="A4B67EFA"/>
    <w:lvl w:ilvl="0" w:tplc="3C120108">
      <w:start w:val="10"/>
      <w:numFmt w:val="bullet"/>
      <w:lvlText w:val="-"/>
      <w:lvlJc w:val="left"/>
      <w:pPr>
        <w:ind w:left="1856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9" w15:restartNumberingAfterBreak="0">
    <w:nsid w:val="06800A4E"/>
    <w:multiLevelType w:val="hybridMultilevel"/>
    <w:tmpl w:val="3DE03658"/>
    <w:lvl w:ilvl="0" w:tplc="3B0E0522">
      <w:start w:val="1"/>
      <w:numFmt w:val="decimal"/>
      <w:lvlText w:val="%1)"/>
      <w:lvlJc w:val="left"/>
      <w:pPr>
        <w:ind w:left="360" w:hanging="360"/>
      </w:pPr>
      <w:rPr>
        <w:rFonts w:ascii="TH SarabunPSK" w:eastAsia="Times New Roman" w:hAnsi="TH SarabunPSK" w:cs="TH SarabunPSK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161532"/>
    <w:multiLevelType w:val="hybridMultilevel"/>
    <w:tmpl w:val="47B66024"/>
    <w:lvl w:ilvl="0" w:tplc="DC0A024E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10131"/>
    <w:multiLevelType w:val="hybridMultilevel"/>
    <w:tmpl w:val="EDA0959E"/>
    <w:lvl w:ilvl="0" w:tplc="6A2A5D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B41985"/>
    <w:multiLevelType w:val="multilevel"/>
    <w:tmpl w:val="814E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CE7F30"/>
    <w:multiLevelType w:val="multilevel"/>
    <w:tmpl w:val="3486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EB5C45"/>
    <w:multiLevelType w:val="hybridMultilevel"/>
    <w:tmpl w:val="3738C33A"/>
    <w:lvl w:ilvl="0" w:tplc="137E0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4D0D69"/>
    <w:multiLevelType w:val="hybridMultilevel"/>
    <w:tmpl w:val="EDBC0E18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0C524E25"/>
    <w:multiLevelType w:val="hybridMultilevel"/>
    <w:tmpl w:val="0E008742"/>
    <w:lvl w:ilvl="0" w:tplc="64CC81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C6944AF"/>
    <w:multiLevelType w:val="multilevel"/>
    <w:tmpl w:val="EBEC6424"/>
    <w:lvl w:ilvl="0">
      <w:start w:val="7"/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  <w:color w:val="auto"/>
      </w:rPr>
    </w:lvl>
    <w:lvl w:ilvl="1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0E835DFA"/>
    <w:multiLevelType w:val="hybridMultilevel"/>
    <w:tmpl w:val="F664FCAC"/>
    <w:lvl w:ilvl="0" w:tplc="5DC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154FB8"/>
    <w:multiLevelType w:val="multilevel"/>
    <w:tmpl w:val="63703B36"/>
    <w:lvl w:ilvl="0">
      <w:start w:val="7"/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  <w:color w:val="auto"/>
      </w:rPr>
    </w:lvl>
    <w:lvl w:ilvl="1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0F957032"/>
    <w:multiLevelType w:val="multilevel"/>
    <w:tmpl w:val="F418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A02BB8"/>
    <w:multiLevelType w:val="hybridMultilevel"/>
    <w:tmpl w:val="E45668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0320931"/>
    <w:multiLevelType w:val="multilevel"/>
    <w:tmpl w:val="6F56A6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114361EC"/>
    <w:multiLevelType w:val="multilevel"/>
    <w:tmpl w:val="E2DA5C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12421090"/>
    <w:multiLevelType w:val="hybridMultilevel"/>
    <w:tmpl w:val="4934ABC4"/>
    <w:lvl w:ilvl="0" w:tplc="981031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55601A"/>
    <w:multiLevelType w:val="multilevel"/>
    <w:tmpl w:val="15108322"/>
    <w:lvl w:ilvl="0">
      <w:start w:val="10"/>
      <w:numFmt w:val="bullet"/>
      <w:lvlText w:val="-"/>
      <w:lvlJc w:val="left"/>
      <w:pPr>
        <w:ind w:left="648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8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13B7757A"/>
    <w:multiLevelType w:val="multilevel"/>
    <w:tmpl w:val="EBA8100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eastAsia="TH Sarabun PSK" w:hAnsi="TH SarabunPSK" w:cs="TH SarabunPSK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145823EE"/>
    <w:multiLevelType w:val="hybridMultilevel"/>
    <w:tmpl w:val="2C78506A"/>
    <w:lvl w:ilvl="0" w:tplc="33966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935500"/>
    <w:multiLevelType w:val="hybridMultilevel"/>
    <w:tmpl w:val="87D46FEE"/>
    <w:lvl w:ilvl="0" w:tplc="88244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63405A8"/>
    <w:multiLevelType w:val="hybridMultilevel"/>
    <w:tmpl w:val="1130E0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7F67811"/>
    <w:multiLevelType w:val="hybridMultilevel"/>
    <w:tmpl w:val="411C5EBA"/>
    <w:lvl w:ilvl="0" w:tplc="6CDCBF2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8262A70"/>
    <w:multiLevelType w:val="multilevel"/>
    <w:tmpl w:val="82E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691F86"/>
    <w:multiLevelType w:val="multilevel"/>
    <w:tmpl w:val="331E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88A293D"/>
    <w:multiLevelType w:val="hybridMultilevel"/>
    <w:tmpl w:val="59DE0CB4"/>
    <w:lvl w:ilvl="0" w:tplc="BABA04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E07EE6"/>
    <w:multiLevelType w:val="hybridMultilevel"/>
    <w:tmpl w:val="405A0B8A"/>
    <w:lvl w:ilvl="0" w:tplc="E564BACE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D11520"/>
    <w:multiLevelType w:val="multilevel"/>
    <w:tmpl w:val="56F456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19D95CA6"/>
    <w:multiLevelType w:val="multilevel"/>
    <w:tmpl w:val="2650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AA601A7"/>
    <w:multiLevelType w:val="multilevel"/>
    <w:tmpl w:val="256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514C7F"/>
    <w:multiLevelType w:val="multilevel"/>
    <w:tmpl w:val="F062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E584656"/>
    <w:multiLevelType w:val="hybridMultilevel"/>
    <w:tmpl w:val="3E14DDC0"/>
    <w:lvl w:ilvl="0" w:tplc="49629C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C34875"/>
    <w:multiLevelType w:val="hybridMultilevel"/>
    <w:tmpl w:val="927E7600"/>
    <w:lvl w:ilvl="0" w:tplc="5F1AF762">
      <w:start w:val="1"/>
      <w:numFmt w:val="decimal"/>
      <w:lvlText w:val="%1)"/>
      <w:lvlJc w:val="left"/>
      <w:pPr>
        <w:ind w:left="360" w:hanging="360"/>
      </w:pPr>
      <w:rPr>
        <w:rFonts w:ascii="TH SarabunPSK" w:eastAsiaTheme="minorHAnsi" w:hAnsi="TH SarabunPSK" w:cs="TH SarabunPSK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F8A18DD"/>
    <w:multiLevelType w:val="hybridMultilevel"/>
    <w:tmpl w:val="114A8BE2"/>
    <w:lvl w:ilvl="0" w:tplc="3C120108">
      <w:start w:val="1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D01C74"/>
    <w:multiLevelType w:val="hybridMultilevel"/>
    <w:tmpl w:val="CCC2B1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0A04E65"/>
    <w:multiLevelType w:val="multilevel"/>
    <w:tmpl w:val="81A4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1847B62"/>
    <w:multiLevelType w:val="hybridMultilevel"/>
    <w:tmpl w:val="7A2C498E"/>
    <w:lvl w:ilvl="0" w:tplc="355C8B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2163B6"/>
    <w:multiLevelType w:val="hybridMultilevel"/>
    <w:tmpl w:val="0804C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4673BEE"/>
    <w:multiLevelType w:val="hybridMultilevel"/>
    <w:tmpl w:val="7868C5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7297C49"/>
    <w:multiLevelType w:val="hybridMultilevel"/>
    <w:tmpl w:val="A5F89DA4"/>
    <w:lvl w:ilvl="0" w:tplc="2CEE2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0B373B"/>
    <w:multiLevelType w:val="hybridMultilevel"/>
    <w:tmpl w:val="09B606E0"/>
    <w:lvl w:ilvl="0" w:tplc="B62069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CD63CD"/>
    <w:multiLevelType w:val="multilevel"/>
    <w:tmpl w:val="DBE69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 w15:restartNumberingAfterBreak="0">
    <w:nsid w:val="2A4D02B5"/>
    <w:multiLevelType w:val="hybridMultilevel"/>
    <w:tmpl w:val="1F7A13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AE41E7E"/>
    <w:multiLevelType w:val="hybridMultilevel"/>
    <w:tmpl w:val="12685F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D501ABF"/>
    <w:multiLevelType w:val="hybridMultilevel"/>
    <w:tmpl w:val="D6480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6A79D6"/>
    <w:multiLevelType w:val="multilevel"/>
    <w:tmpl w:val="A806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A72A44"/>
    <w:multiLevelType w:val="hybridMultilevel"/>
    <w:tmpl w:val="F49E0990"/>
    <w:lvl w:ilvl="0" w:tplc="4D7602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5C4BDA"/>
    <w:multiLevelType w:val="multilevel"/>
    <w:tmpl w:val="1A8A7F7A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E9420A7"/>
    <w:multiLevelType w:val="hybridMultilevel"/>
    <w:tmpl w:val="A8ECDAFA"/>
    <w:lvl w:ilvl="0" w:tplc="59269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983E71"/>
    <w:multiLevelType w:val="multilevel"/>
    <w:tmpl w:val="4780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0934098"/>
    <w:multiLevelType w:val="hybridMultilevel"/>
    <w:tmpl w:val="2B442AB0"/>
    <w:lvl w:ilvl="0" w:tplc="5DC8442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C982C18">
      <w:start w:val="1"/>
      <w:numFmt w:val="decimal"/>
      <w:lvlText w:val="%2)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1A72C1"/>
    <w:multiLevelType w:val="hybridMultilevel"/>
    <w:tmpl w:val="39DC1372"/>
    <w:lvl w:ilvl="0" w:tplc="4BE26BFE">
      <w:start w:val="1"/>
      <w:numFmt w:val="decimal"/>
      <w:lvlText w:val="%1)"/>
      <w:lvlJc w:val="left"/>
      <w:pPr>
        <w:ind w:left="71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31390487"/>
    <w:multiLevelType w:val="hybridMultilevel"/>
    <w:tmpl w:val="995609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14B3BD8"/>
    <w:multiLevelType w:val="multilevel"/>
    <w:tmpl w:val="FB0E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2220CFE"/>
    <w:multiLevelType w:val="multilevel"/>
    <w:tmpl w:val="36B2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2313E4A"/>
    <w:multiLevelType w:val="hybridMultilevel"/>
    <w:tmpl w:val="3A206A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2477978"/>
    <w:multiLevelType w:val="hybridMultilevel"/>
    <w:tmpl w:val="07C8CA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7C8D2C2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3754A55"/>
    <w:multiLevelType w:val="hybridMultilevel"/>
    <w:tmpl w:val="1F403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55E211A"/>
    <w:multiLevelType w:val="hybridMultilevel"/>
    <w:tmpl w:val="AE6C115C"/>
    <w:lvl w:ilvl="0" w:tplc="04090011">
      <w:start w:val="1"/>
      <w:numFmt w:val="decimal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7" w15:restartNumberingAfterBreak="0">
    <w:nsid w:val="356775C1"/>
    <w:multiLevelType w:val="hybridMultilevel"/>
    <w:tmpl w:val="6DF00F10"/>
    <w:lvl w:ilvl="0" w:tplc="FFFFFFFF">
      <w:start w:val="1"/>
      <w:numFmt w:val="decimal"/>
      <w:lvlText w:val="%1)"/>
      <w:lvlJc w:val="left"/>
      <w:pPr>
        <w:ind w:left="5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8" w:hanging="360"/>
      </w:pPr>
    </w:lvl>
    <w:lvl w:ilvl="2" w:tplc="FFFFFFFF" w:tentative="1">
      <w:start w:val="1"/>
      <w:numFmt w:val="lowerRoman"/>
      <w:lvlText w:val="%3."/>
      <w:lvlJc w:val="right"/>
      <w:pPr>
        <w:ind w:left="1978" w:hanging="180"/>
      </w:pPr>
    </w:lvl>
    <w:lvl w:ilvl="3" w:tplc="FFFFFFFF" w:tentative="1">
      <w:start w:val="1"/>
      <w:numFmt w:val="decimal"/>
      <w:lvlText w:val="%4."/>
      <w:lvlJc w:val="left"/>
      <w:pPr>
        <w:ind w:left="2698" w:hanging="360"/>
      </w:pPr>
    </w:lvl>
    <w:lvl w:ilvl="4" w:tplc="FFFFFFFF" w:tentative="1">
      <w:start w:val="1"/>
      <w:numFmt w:val="lowerLetter"/>
      <w:lvlText w:val="%5."/>
      <w:lvlJc w:val="left"/>
      <w:pPr>
        <w:ind w:left="3418" w:hanging="360"/>
      </w:pPr>
    </w:lvl>
    <w:lvl w:ilvl="5" w:tplc="FFFFFFFF" w:tentative="1">
      <w:start w:val="1"/>
      <w:numFmt w:val="lowerRoman"/>
      <w:lvlText w:val="%6."/>
      <w:lvlJc w:val="right"/>
      <w:pPr>
        <w:ind w:left="4138" w:hanging="180"/>
      </w:pPr>
    </w:lvl>
    <w:lvl w:ilvl="6" w:tplc="FFFFFFFF" w:tentative="1">
      <w:start w:val="1"/>
      <w:numFmt w:val="decimal"/>
      <w:lvlText w:val="%7."/>
      <w:lvlJc w:val="left"/>
      <w:pPr>
        <w:ind w:left="4858" w:hanging="360"/>
      </w:pPr>
    </w:lvl>
    <w:lvl w:ilvl="7" w:tplc="FFFFFFFF" w:tentative="1">
      <w:start w:val="1"/>
      <w:numFmt w:val="lowerLetter"/>
      <w:lvlText w:val="%8."/>
      <w:lvlJc w:val="left"/>
      <w:pPr>
        <w:ind w:left="5578" w:hanging="360"/>
      </w:pPr>
    </w:lvl>
    <w:lvl w:ilvl="8" w:tplc="FFFFFFFF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68" w15:restartNumberingAfterBreak="0">
    <w:nsid w:val="363B4294"/>
    <w:multiLevelType w:val="multilevel"/>
    <w:tmpl w:val="98C40448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643778D"/>
    <w:multiLevelType w:val="hybridMultilevel"/>
    <w:tmpl w:val="26B09CB8"/>
    <w:lvl w:ilvl="0" w:tplc="53D0A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220DF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6E704B1"/>
    <w:multiLevelType w:val="multilevel"/>
    <w:tmpl w:val="353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6F876E2"/>
    <w:multiLevelType w:val="hybridMultilevel"/>
    <w:tmpl w:val="D8A855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7D519A"/>
    <w:multiLevelType w:val="multilevel"/>
    <w:tmpl w:val="8B02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9897841"/>
    <w:multiLevelType w:val="hybridMultilevel"/>
    <w:tmpl w:val="D3AE5132"/>
    <w:lvl w:ilvl="0" w:tplc="813C54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99C4E28"/>
    <w:multiLevelType w:val="hybridMultilevel"/>
    <w:tmpl w:val="746A8112"/>
    <w:lvl w:ilvl="0" w:tplc="03DC8FF6">
      <w:start w:val="1"/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AF74B4E"/>
    <w:multiLevelType w:val="multilevel"/>
    <w:tmpl w:val="7276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B4517B1"/>
    <w:multiLevelType w:val="multilevel"/>
    <w:tmpl w:val="1836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B4B65A3"/>
    <w:multiLevelType w:val="multilevel"/>
    <w:tmpl w:val="B31A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BEB5FDA"/>
    <w:multiLevelType w:val="hybridMultilevel"/>
    <w:tmpl w:val="54DA99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C6A64F6"/>
    <w:multiLevelType w:val="hybridMultilevel"/>
    <w:tmpl w:val="0E041E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C780FAD"/>
    <w:multiLevelType w:val="multilevel"/>
    <w:tmpl w:val="C3B0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CF66496"/>
    <w:multiLevelType w:val="hybridMultilevel"/>
    <w:tmpl w:val="D7CC53D8"/>
    <w:lvl w:ilvl="0" w:tplc="119CEA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D291C80"/>
    <w:multiLevelType w:val="hybridMultilevel"/>
    <w:tmpl w:val="69B0E69A"/>
    <w:lvl w:ilvl="0" w:tplc="45A2D0E6">
      <w:start w:val="1"/>
      <w:numFmt w:val="decimal"/>
      <w:lvlText w:val="%1)"/>
      <w:lvlJc w:val="left"/>
      <w:pPr>
        <w:ind w:left="36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D580E4D"/>
    <w:multiLevelType w:val="hybridMultilevel"/>
    <w:tmpl w:val="918413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E267E12"/>
    <w:multiLevelType w:val="hybridMultilevel"/>
    <w:tmpl w:val="EA102E60"/>
    <w:lvl w:ilvl="0" w:tplc="CDD4D4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3F3C1508"/>
    <w:multiLevelType w:val="hybridMultilevel"/>
    <w:tmpl w:val="640239EC"/>
    <w:lvl w:ilvl="0" w:tplc="73D421B6">
      <w:start w:val="1"/>
      <w:numFmt w:val="decimal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FC47713"/>
    <w:multiLevelType w:val="hybridMultilevel"/>
    <w:tmpl w:val="D0AE4E5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13B3006"/>
    <w:multiLevelType w:val="hybridMultilevel"/>
    <w:tmpl w:val="26AE338A"/>
    <w:lvl w:ilvl="0" w:tplc="23086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1CB5932"/>
    <w:multiLevelType w:val="hybridMultilevel"/>
    <w:tmpl w:val="118C812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2266C95"/>
    <w:multiLevelType w:val="hybridMultilevel"/>
    <w:tmpl w:val="027EF044"/>
    <w:lvl w:ilvl="0" w:tplc="FC0A95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3AD7981"/>
    <w:multiLevelType w:val="hybridMultilevel"/>
    <w:tmpl w:val="37A295C4"/>
    <w:lvl w:ilvl="0" w:tplc="972613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6015D7E"/>
    <w:multiLevelType w:val="multilevel"/>
    <w:tmpl w:val="9092A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92" w15:restartNumberingAfterBreak="0">
    <w:nsid w:val="46BB38A6"/>
    <w:multiLevelType w:val="hybridMultilevel"/>
    <w:tmpl w:val="DE060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70F5B91"/>
    <w:multiLevelType w:val="hybridMultilevel"/>
    <w:tmpl w:val="65481A9E"/>
    <w:lvl w:ilvl="0" w:tplc="71148CC0">
      <w:start w:val="1"/>
      <w:numFmt w:val="decimal"/>
      <w:lvlText w:val="%1)"/>
      <w:lvlJc w:val="left"/>
      <w:pPr>
        <w:ind w:left="360" w:hanging="360"/>
      </w:pPr>
      <w:rPr>
        <w:rFonts w:ascii="TH SarabunPSK" w:eastAsia="Times New Roman" w:hAnsi="TH SarabunPSK" w:cs="TH SarabunPSK"/>
      </w:rPr>
    </w:lvl>
    <w:lvl w:ilvl="1" w:tplc="AD5414AA">
      <w:start w:val="3"/>
      <w:numFmt w:val="bullet"/>
      <w:lvlText w:val="•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70F5C1A"/>
    <w:multiLevelType w:val="multilevel"/>
    <w:tmpl w:val="2288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8D6712D"/>
    <w:multiLevelType w:val="hybridMultilevel"/>
    <w:tmpl w:val="D292AC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493A6C64"/>
    <w:multiLevelType w:val="hybridMultilevel"/>
    <w:tmpl w:val="08DEB0EC"/>
    <w:lvl w:ilvl="0" w:tplc="E97CC772">
      <w:start w:val="5"/>
      <w:numFmt w:val="bullet"/>
      <w:lvlText w:val=""/>
      <w:lvlJc w:val="left"/>
      <w:pPr>
        <w:ind w:left="720" w:hanging="360"/>
      </w:pPr>
      <w:rPr>
        <w:rFonts w:ascii="TH SarabunPSK" w:eastAsia="TH Sarabun 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9690566"/>
    <w:multiLevelType w:val="hybridMultilevel"/>
    <w:tmpl w:val="6F7693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985358A"/>
    <w:multiLevelType w:val="multilevel"/>
    <w:tmpl w:val="548E1F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9E236AA"/>
    <w:multiLevelType w:val="hybridMultilevel"/>
    <w:tmpl w:val="640239E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A0C74C5"/>
    <w:multiLevelType w:val="hybridMultilevel"/>
    <w:tmpl w:val="1012E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AEA4A61"/>
    <w:multiLevelType w:val="multilevel"/>
    <w:tmpl w:val="AF48DD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2" w15:restartNumberingAfterBreak="0">
    <w:nsid w:val="4B135B88"/>
    <w:multiLevelType w:val="hybridMultilevel"/>
    <w:tmpl w:val="57C49150"/>
    <w:lvl w:ilvl="0" w:tplc="E564BACE">
      <w:start w:val="7"/>
      <w:numFmt w:val="bullet"/>
      <w:lvlText w:val="-"/>
      <w:lvlJc w:val="left"/>
      <w:pPr>
        <w:ind w:left="644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3" w15:restartNumberingAfterBreak="0">
    <w:nsid w:val="4BB65C6C"/>
    <w:multiLevelType w:val="hybridMultilevel"/>
    <w:tmpl w:val="2E68BE2C"/>
    <w:lvl w:ilvl="0" w:tplc="1BA601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C92393"/>
    <w:multiLevelType w:val="hybridMultilevel"/>
    <w:tmpl w:val="FD068C22"/>
    <w:lvl w:ilvl="0" w:tplc="93662FFC">
      <w:start w:val="1"/>
      <w:numFmt w:val="decimal"/>
      <w:lvlText w:val="%1."/>
      <w:lvlJc w:val="left"/>
      <w:pPr>
        <w:ind w:left="858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508C501F"/>
    <w:multiLevelType w:val="multilevel"/>
    <w:tmpl w:val="D2BA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10609FD"/>
    <w:multiLevelType w:val="hybridMultilevel"/>
    <w:tmpl w:val="D08ABD38"/>
    <w:lvl w:ilvl="0" w:tplc="63AA0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14756BF"/>
    <w:multiLevelType w:val="hybridMultilevel"/>
    <w:tmpl w:val="55529A2C"/>
    <w:lvl w:ilvl="0" w:tplc="23C236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51CF43EB"/>
    <w:multiLevelType w:val="multilevel"/>
    <w:tmpl w:val="A922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2217A8D"/>
    <w:multiLevelType w:val="multilevel"/>
    <w:tmpl w:val="81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26A6FA1"/>
    <w:multiLevelType w:val="multilevel"/>
    <w:tmpl w:val="886ADFE2"/>
    <w:lvl w:ilvl="0">
      <w:start w:val="1"/>
      <w:numFmt w:val="decimal"/>
      <w:lvlText w:val="%1."/>
      <w:lvlJc w:val="left"/>
      <w:pPr>
        <w:ind w:left="360" w:hanging="360"/>
      </w:pPr>
      <w:rPr>
        <w:b/>
        <w:lang w:bidi="th-TH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0E496A"/>
    <w:multiLevelType w:val="hybridMultilevel"/>
    <w:tmpl w:val="4CEEB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58690DCC"/>
    <w:multiLevelType w:val="multilevel"/>
    <w:tmpl w:val="00005C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3" w15:restartNumberingAfterBreak="0">
    <w:nsid w:val="58D35FCE"/>
    <w:multiLevelType w:val="hybridMultilevel"/>
    <w:tmpl w:val="FBF82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9427570"/>
    <w:multiLevelType w:val="multilevel"/>
    <w:tmpl w:val="28F0049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5" w15:restartNumberingAfterBreak="0">
    <w:nsid w:val="5971156B"/>
    <w:multiLevelType w:val="multilevel"/>
    <w:tmpl w:val="41A2667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9E86392"/>
    <w:multiLevelType w:val="hybridMultilevel"/>
    <w:tmpl w:val="4816E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A1C1DAF"/>
    <w:multiLevelType w:val="hybridMultilevel"/>
    <w:tmpl w:val="84BA677C"/>
    <w:lvl w:ilvl="0" w:tplc="62F0FF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9763DEC">
      <w:start w:val="225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5A856C42"/>
    <w:multiLevelType w:val="hybridMultilevel"/>
    <w:tmpl w:val="E16EBC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A8D2DA8"/>
    <w:multiLevelType w:val="hybridMultilevel"/>
    <w:tmpl w:val="192AE9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5C0C7945"/>
    <w:multiLevelType w:val="hybridMultilevel"/>
    <w:tmpl w:val="0C6E4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66436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5DD44D18"/>
    <w:multiLevelType w:val="hybridMultilevel"/>
    <w:tmpl w:val="BEE4D850"/>
    <w:lvl w:ilvl="0" w:tplc="714E48F6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E6E62A0"/>
    <w:multiLevelType w:val="multilevel"/>
    <w:tmpl w:val="F7AAB5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3" w15:restartNumberingAfterBreak="0">
    <w:nsid w:val="5E9F4ACF"/>
    <w:multiLevelType w:val="hybridMultilevel"/>
    <w:tmpl w:val="95F671E4"/>
    <w:lvl w:ilvl="0" w:tplc="BE229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FB3183D"/>
    <w:multiLevelType w:val="hybridMultilevel"/>
    <w:tmpl w:val="12FC9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FC30B07"/>
    <w:multiLevelType w:val="hybridMultilevel"/>
    <w:tmpl w:val="97809E48"/>
    <w:lvl w:ilvl="0" w:tplc="C4929A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076471B"/>
    <w:multiLevelType w:val="multilevel"/>
    <w:tmpl w:val="7F2AD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7" w15:restartNumberingAfterBreak="0">
    <w:nsid w:val="619B45A9"/>
    <w:multiLevelType w:val="multilevel"/>
    <w:tmpl w:val="048E32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8" w15:restartNumberingAfterBreak="0">
    <w:nsid w:val="61E85F1D"/>
    <w:multiLevelType w:val="hybridMultilevel"/>
    <w:tmpl w:val="2CBEFC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3685D8C"/>
    <w:multiLevelType w:val="hybridMultilevel"/>
    <w:tmpl w:val="0F18719C"/>
    <w:lvl w:ilvl="0" w:tplc="CAFEE69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3963663"/>
    <w:multiLevelType w:val="multilevel"/>
    <w:tmpl w:val="9B0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3B14C93"/>
    <w:multiLevelType w:val="multilevel"/>
    <w:tmpl w:val="5F164B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2" w15:restartNumberingAfterBreak="0">
    <w:nsid w:val="6459002F"/>
    <w:multiLevelType w:val="hybridMultilevel"/>
    <w:tmpl w:val="5D2E1290"/>
    <w:lvl w:ilvl="0" w:tplc="A13E4FE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4D3455D"/>
    <w:multiLevelType w:val="hybridMultilevel"/>
    <w:tmpl w:val="A65CB086"/>
    <w:lvl w:ilvl="0" w:tplc="1F64B61E"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50C3D3D"/>
    <w:multiLevelType w:val="multilevel"/>
    <w:tmpl w:val="FE5E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52E6F4D"/>
    <w:multiLevelType w:val="multilevel"/>
    <w:tmpl w:val="75E2D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6"/>
        <w:szCs w:val="36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6" w15:restartNumberingAfterBreak="0">
    <w:nsid w:val="65BF1820"/>
    <w:multiLevelType w:val="hybridMultilevel"/>
    <w:tmpl w:val="6DF00F10"/>
    <w:lvl w:ilvl="0" w:tplc="04090011">
      <w:start w:val="1"/>
      <w:numFmt w:val="decimal"/>
      <w:lvlText w:val="%1)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37" w15:restartNumberingAfterBreak="0">
    <w:nsid w:val="66214A5C"/>
    <w:multiLevelType w:val="hybridMultilevel"/>
    <w:tmpl w:val="BD561B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664F2068"/>
    <w:multiLevelType w:val="hybridMultilevel"/>
    <w:tmpl w:val="B6521E94"/>
    <w:lvl w:ilvl="0" w:tplc="865AB9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8567CCF"/>
    <w:multiLevelType w:val="hybridMultilevel"/>
    <w:tmpl w:val="7E18C1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689731D5"/>
    <w:multiLevelType w:val="hybridMultilevel"/>
    <w:tmpl w:val="DC66AE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69244D89"/>
    <w:multiLevelType w:val="hybridMultilevel"/>
    <w:tmpl w:val="88FE03A6"/>
    <w:lvl w:ilvl="0" w:tplc="61627588">
      <w:start w:val="1"/>
      <w:numFmt w:val="decimal"/>
      <w:lvlText w:val="%1)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6AD37354"/>
    <w:multiLevelType w:val="hybridMultilevel"/>
    <w:tmpl w:val="795E7AC6"/>
    <w:lvl w:ilvl="0" w:tplc="3C120108">
      <w:start w:val="10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6BE460F8"/>
    <w:multiLevelType w:val="hybridMultilevel"/>
    <w:tmpl w:val="AA1EC1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C23362E"/>
    <w:multiLevelType w:val="hybridMultilevel"/>
    <w:tmpl w:val="804E8D4E"/>
    <w:lvl w:ilvl="0" w:tplc="192888A8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C8F7F54"/>
    <w:multiLevelType w:val="hybridMultilevel"/>
    <w:tmpl w:val="11B80EC6"/>
    <w:lvl w:ilvl="0" w:tplc="DCF68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D3D0AEE"/>
    <w:multiLevelType w:val="multilevel"/>
    <w:tmpl w:val="C40C8B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7" w15:restartNumberingAfterBreak="0">
    <w:nsid w:val="6D553347"/>
    <w:multiLevelType w:val="hybridMultilevel"/>
    <w:tmpl w:val="5D0A9C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6DB75697"/>
    <w:multiLevelType w:val="hybridMultilevel"/>
    <w:tmpl w:val="6510B79E"/>
    <w:lvl w:ilvl="0" w:tplc="D452D1EA">
      <w:start w:val="5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E1A2C1F"/>
    <w:multiLevelType w:val="hybridMultilevel"/>
    <w:tmpl w:val="C62AE464"/>
    <w:lvl w:ilvl="0" w:tplc="68DC550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6F0E3D0C"/>
    <w:multiLevelType w:val="hybridMultilevel"/>
    <w:tmpl w:val="7BCCCC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17E3B49"/>
    <w:multiLevelType w:val="hybridMultilevel"/>
    <w:tmpl w:val="5E3C98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45C39ED"/>
    <w:multiLevelType w:val="multilevel"/>
    <w:tmpl w:val="E46E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4AC4530"/>
    <w:multiLevelType w:val="multilevel"/>
    <w:tmpl w:val="074C56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4" w15:restartNumberingAfterBreak="0">
    <w:nsid w:val="74C443F7"/>
    <w:multiLevelType w:val="multilevel"/>
    <w:tmpl w:val="3924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50D350B"/>
    <w:multiLevelType w:val="hybridMultilevel"/>
    <w:tmpl w:val="138E8DD2"/>
    <w:lvl w:ilvl="0" w:tplc="55FE75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6463051"/>
    <w:multiLevelType w:val="hybridMultilevel"/>
    <w:tmpl w:val="A8043494"/>
    <w:lvl w:ilvl="0" w:tplc="DE9463B2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75A1525"/>
    <w:multiLevelType w:val="hybridMultilevel"/>
    <w:tmpl w:val="D6E8FD8A"/>
    <w:lvl w:ilvl="0" w:tplc="E564BACE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88B2D2A"/>
    <w:multiLevelType w:val="multilevel"/>
    <w:tmpl w:val="AAB8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89B1C5F"/>
    <w:multiLevelType w:val="hybridMultilevel"/>
    <w:tmpl w:val="45A095E0"/>
    <w:lvl w:ilvl="0" w:tplc="23C236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7B0B1EC1"/>
    <w:multiLevelType w:val="hybridMultilevel"/>
    <w:tmpl w:val="BCDCFEC8"/>
    <w:lvl w:ilvl="0" w:tplc="C45EED40">
      <w:start w:val="1"/>
      <w:numFmt w:val="decimal"/>
      <w:lvlText w:val="%1)"/>
      <w:lvlJc w:val="left"/>
      <w:pPr>
        <w:ind w:left="648" w:hanging="360"/>
      </w:pPr>
      <w:rPr>
        <w:rFonts w:ascii="TH SarabunPSK" w:eastAsiaTheme="minorHAnsi" w:hAnsi="TH SarabunPSK" w:cs="TH SarabunPSK"/>
        <w:lang w:bidi="th-TH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1" w15:restartNumberingAfterBreak="0">
    <w:nsid w:val="7CA92F9C"/>
    <w:multiLevelType w:val="hybridMultilevel"/>
    <w:tmpl w:val="50FAF8FA"/>
    <w:lvl w:ilvl="0" w:tplc="F9E6814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D2F3C1F"/>
    <w:multiLevelType w:val="hybridMultilevel"/>
    <w:tmpl w:val="584A622C"/>
    <w:lvl w:ilvl="0" w:tplc="93662FF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518088">
    <w:abstractNumId w:val="95"/>
  </w:num>
  <w:num w:numId="2" w16cid:durableId="1320957618">
    <w:abstractNumId w:val="64"/>
  </w:num>
  <w:num w:numId="3" w16cid:durableId="945963590">
    <w:abstractNumId w:val="120"/>
  </w:num>
  <w:num w:numId="4" w16cid:durableId="1885561182">
    <w:abstractNumId w:val="42"/>
  </w:num>
  <w:num w:numId="5" w16cid:durableId="1828011836">
    <w:abstractNumId w:val="137"/>
  </w:num>
  <w:num w:numId="6" w16cid:durableId="1139615080">
    <w:abstractNumId w:val="139"/>
  </w:num>
  <w:num w:numId="7" w16cid:durableId="1904096473">
    <w:abstractNumId w:val="93"/>
  </w:num>
  <w:num w:numId="8" w16cid:durableId="855115908">
    <w:abstractNumId w:val="82"/>
  </w:num>
  <w:num w:numId="9" w16cid:durableId="531721722">
    <w:abstractNumId w:val="29"/>
  </w:num>
  <w:num w:numId="10" w16cid:durableId="1439330789">
    <w:abstractNumId w:val="117"/>
  </w:num>
  <w:num w:numId="11" w16cid:durableId="1707213562">
    <w:abstractNumId w:val="89"/>
  </w:num>
  <w:num w:numId="12" w16cid:durableId="1141653261">
    <w:abstractNumId w:val="159"/>
  </w:num>
  <w:num w:numId="13" w16cid:durableId="687946999">
    <w:abstractNumId w:val="160"/>
  </w:num>
  <w:num w:numId="14" w16cid:durableId="1417744538">
    <w:abstractNumId w:val="123"/>
  </w:num>
  <w:num w:numId="15" w16cid:durableId="1252084224">
    <w:abstractNumId w:val="107"/>
  </w:num>
  <w:num w:numId="16" w16cid:durableId="1836071300">
    <w:abstractNumId w:val="11"/>
  </w:num>
  <w:num w:numId="17" w16cid:durableId="369257844">
    <w:abstractNumId w:val="9"/>
  </w:num>
  <w:num w:numId="18" w16cid:durableId="1505824806">
    <w:abstractNumId w:val="111"/>
  </w:num>
  <w:num w:numId="19" w16cid:durableId="2024669233">
    <w:abstractNumId w:val="103"/>
  </w:num>
  <w:num w:numId="20" w16cid:durableId="471287824">
    <w:abstractNumId w:val="33"/>
  </w:num>
  <w:num w:numId="21" w16cid:durableId="746535771">
    <w:abstractNumId w:val="73"/>
  </w:num>
  <w:num w:numId="22" w16cid:durableId="153227230">
    <w:abstractNumId w:val="41"/>
  </w:num>
  <w:num w:numId="23" w16cid:durableId="1474642444">
    <w:abstractNumId w:val="91"/>
  </w:num>
  <w:num w:numId="24" w16cid:durableId="2091731606">
    <w:abstractNumId w:val="81"/>
  </w:num>
  <w:num w:numId="25" w16cid:durableId="966203368">
    <w:abstractNumId w:val="5"/>
  </w:num>
  <w:num w:numId="26" w16cid:durableId="974600519">
    <w:abstractNumId w:val="142"/>
  </w:num>
  <w:num w:numId="27" w16cid:durableId="808130579">
    <w:abstractNumId w:val="47"/>
  </w:num>
  <w:num w:numId="28" w16cid:durableId="1344160584">
    <w:abstractNumId w:val="79"/>
  </w:num>
  <w:num w:numId="29" w16cid:durableId="1318876237">
    <w:abstractNumId w:val="50"/>
  </w:num>
  <w:num w:numId="30" w16cid:durableId="254943246">
    <w:abstractNumId w:val="145"/>
  </w:num>
  <w:num w:numId="31" w16cid:durableId="1239288880">
    <w:abstractNumId w:val="92"/>
  </w:num>
  <w:num w:numId="32" w16cid:durableId="401290774">
    <w:abstractNumId w:val="135"/>
  </w:num>
  <w:num w:numId="33" w16cid:durableId="982395366">
    <w:abstractNumId w:val="118"/>
  </w:num>
  <w:num w:numId="34" w16cid:durableId="917717690">
    <w:abstractNumId w:val="125"/>
  </w:num>
  <w:num w:numId="35" w16cid:durableId="1984002283">
    <w:abstractNumId w:val="8"/>
  </w:num>
  <w:num w:numId="36" w16cid:durableId="322393889">
    <w:abstractNumId w:val="136"/>
  </w:num>
  <w:num w:numId="37" w16cid:durableId="275330442">
    <w:abstractNumId w:val="83"/>
  </w:num>
  <w:num w:numId="38" w16cid:durableId="943341183">
    <w:abstractNumId w:val="25"/>
  </w:num>
  <w:num w:numId="39" w16cid:durableId="411508089">
    <w:abstractNumId w:val="26"/>
  </w:num>
  <w:num w:numId="40" w16cid:durableId="1212305834">
    <w:abstractNumId w:val="114"/>
  </w:num>
  <w:num w:numId="41" w16cid:durableId="1310090596">
    <w:abstractNumId w:val="98"/>
  </w:num>
  <w:num w:numId="42" w16cid:durableId="476338768">
    <w:abstractNumId w:val="110"/>
  </w:num>
  <w:num w:numId="43" w16cid:durableId="295643956">
    <w:abstractNumId w:val="113"/>
  </w:num>
  <w:num w:numId="44" w16cid:durableId="1167092831">
    <w:abstractNumId w:val="45"/>
  </w:num>
  <w:num w:numId="45" w16cid:durableId="549342826">
    <w:abstractNumId w:val="22"/>
  </w:num>
  <w:num w:numId="46" w16cid:durableId="1620794505">
    <w:abstractNumId w:val="116"/>
  </w:num>
  <w:num w:numId="47" w16cid:durableId="731270499">
    <w:abstractNumId w:val="4"/>
  </w:num>
  <w:num w:numId="48" w16cid:durableId="211506782">
    <w:abstractNumId w:val="1"/>
  </w:num>
  <w:num w:numId="49" w16cid:durableId="1057436450">
    <w:abstractNumId w:val="61"/>
  </w:num>
  <w:num w:numId="50" w16cid:durableId="209727685">
    <w:abstractNumId w:val="85"/>
  </w:num>
  <w:num w:numId="51" w16cid:durableId="1710177544">
    <w:abstractNumId w:val="99"/>
  </w:num>
  <w:num w:numId="52" w16cid:durableId="1374690122">
    <w:abstractNumId w:val="16"/>
  </w:num>
  <w:num w:numId="53" w16cid:durableId="533924436">
    <w:abstractNumId w:val="126"/>
  </w:num>
  <w:num w:numId="54" w16cid:durableId="762915894">
    <w:abstractNumId w:val="36"/>
  </w:num>
  <w:num w:numId="55" w16cid:durableId="61873684">
    <w:abstractNumId w:val="65"/>
  </w:num>
  <w:num w:numId="56" w16cid:durableId="827988406">
    <w:abstractNumId w:val="119"/>
  </w:num>
  <w:num w:numId="57" w16cid:durableId="1783917272">
    <w:abstractNumId w:val="147"/>
  </w:num>
  <w:num w:numId="58" w16cid:durableId="1301030919">
    <w:abstractNumId w:val="46"/>
  </w:num>
  <w:num w:numId="59" w16cid:durableId="1435981509">
    <w:abstractNumId w:val="63"/>
  </w:num>
  <w:num w:numId="60" w16cid:durableId="777796706">
    <w:abstractNumId w:val="17"/>
  </w:num>
  <w:num w:numId="61" w16cid:durableId="2101289158">
    <w:abstractNumId w:val="19"/>
  </w:num>
  <w:num w:numId="62" w16cid:durableId="371541818">
    <w:abstractNumId w:val="56"/>
  </w:num>
  <w:num w:numId="63" w16cid:durableId="343362350">
    <w:abstractNumId w:val="150"/>
  </w:num>
  <w:num w:numId="64" w16cid:durableId="1431391214">
    <w:abstractNumId w:val="78"/>
  </w:num>
  <w:num w:numId="65" w16cid:durableId="433673120">
    <w:abstractNumId w:val="146"/>
  </w:num>
  <w:num w:numId="66" w16cid:durableId="483817244">
    <w:abstractNumId w:val="87"/>
  </w:num>
  <w:num w:numId="67" w16cid:durableId="262349518">
    <w:abstractNumId w:val="133"/>
  </w:num>
  <w:num w:numId="68" w16cid:durableId="1837962337">
    <w:abstractNumId w:val="157"/>
  </w:num>
  <w:num w:numId="69" w16cid:durableId="1287856899">
    <w:abstractNumId w:val="129"/>
  </w:num>
  <w:num w:numId="70" w16cid:durableId="1872261557">
    <w:abstractNumId w:val="10"/>
  </w:num>
  <w:num w:numId="71" w16cid:durableId="1511601661">
    <w:abstractNumId w:val="148"/>
  </w:num>
  <w:num w:numId="72" w16cid:durableId="599485580">
    <w:abstractNumId w:val="153"/>
  </w:num>
  <w:num w:numId="73" w16cid:durableId="1476265133">
    <w:abstractNumId w:val="15"/>
  </w:num>
  <w:num w:numId="74" w16cid:durableId="1937866674">
    <w:abstractNumId w:val="35"/>
  </w:num>
  <w:num w:numId="75" w16cid:durableId="351419304">
    <w:abstractNumId w:val="132"/>
  </w:num>
  <w:num w:numId="76" w16cid:durableId="510991869">
    <w:abstractNumId w:val="34"/>
  </w:num>
  <w:num w:numId="77" w16cid:durableId="631523359">
    <w:abstractNumId w:val="21"/>
  </w:num>
  <w:num w:numId="78" w16cid:durableId="1928806868">
    <w:abstractNumId w:val="7"/>
  </w:num>
  <w:num w:numId="79" w16cid:durableId="965542827">
    <w:abstractNumId w:val="68"/>
  </w:num>
  <w:num w:numId="80" w16cid:durableId="2064406705">
    <w:abstractNumId w:val="115"/>
  </w:num>
  <w:num w:numId="81" w16cid:durableId="653947592">
    <w:abstractNumId w:val="55"/>
  </w:num>
  <w:num w:numId="82" w16cid:durableId="1769080865">
    <w:abstractNumId w:val="27"/>
  </w:num>
  <w:num w:numId="83" w16cid:durableId="800534907">
    <w:abstractNumId w:val="14"/>
  </w:num>
  <w:num w:numId="84" w16cid:durableId="1756894944">
    <w:abstractNumId w:val="101"/>
  </w:num>
  <w:num w:numId="85" w16cid:durableId="1980529011">
    <w:abstractNumId w:val="23"/>
  </w:num>
  <w:num w:numId="86" w16cid:durableId="1372267997">
    <w:abstractNumId w:val="102"/>
  </w:num>
  <w:num w:numId="87" w16cid:durableId="1301694926">
    <w:abstractNumId w:val="71"/>
  </w:num>
  <w:num w:numId="88" w16cid:durableId="1735617220">
    <w:abstractNumId w:val="58"/>
  </w:num>
  <w:num w:numId="89" w16cid:durableId="542206001">
    <w:abstractNumId w:val="144"/>
  </w:num>
  <w:num w:numId="90" w16cid:durableId="1167019335">
    <w:abstractNumId w:val="112"/>
  </w:num>
  <w:num w:numId="91" w16cid:durableId="496581121">
    <w:abstractNumId w:val="156"/>
  </w:num>
  <w:num w:numId="92" w16cid:durableId="1427308645">
    <w:abstractNumId w:val="131"/>
  </w:num>
  <w:num w:numId="93" w16cid:durableId="1792818230">
    <w:abstractNumId w:val="28"/>
  </w:num>
  <w:num w:numId="94" w16cid:durableId="468130260">
    <w:abstractNumId w:val="54"/>
  </w:num>
  <w:num w:numId="95" w16cid:durableId="24529641">
    <w:abstractNumId w:val="18"/>
  </w:num>
  <w:num w:numId="96" w16cid:durableId="59988134">
    <w:abstractNumId w:val="52"/>
  </w:num>
  <w:num w:numId="97" w16cid:durableId="58407532">
    <w:abstractNumId w:val="161"/>
  </w:num>
  <w:num w:numId="98" w16cid:durableId="1634945909">
    <w:abstractNumId w:val="40"/>
  </w:num>
  <w:num w:numId="99" w16cid:durableId="1336958041">
    <w:abstractNumId w:val="141"/>
  </w:num>
  <w:num w:numId="100" w16cid:durableId="1405227046">
    <w:abstractNumId w:val="48"/>
  </w:num>
  <w:num w:numId="101" w16cid:durableId="1268153603">
    <w:abstractNumId w:val="67"/>
  </w:num>
  <w:num w:numId="102" w16cid:durableId="193084326">
    <w:abstractNumId w:val="100"/>
  </w:num>
  <w:num w:numId="103" w16cid:durableId="1238129024">
    <w:abstractNumId w:val="90"/>
  </w:num>
  <w:num w:numId="104" w16cid:durableId="516651667">
    <w:abstractNumId w:val="60"/>
  </w:num>
  <w:num w:numId="105" w16cid:durableId="1422066046">
    <w:abstractNumId w:val="154"/>
  </w:num>
  <w:num w:numId="106" w16cid:durableId="540364130">
    <w:abstractNumId w:val="62"/>
  </w:num>
  <w:num w:numId="107" w16cid:durableId="1545363872">
    <w:abstractNumId w:val="109"/>
  </w:num>
  <w:num w:numId="108" w16cid:durableId="1495490266">
    <w:abstractNumId w:val="44"/>
  </w:num>
  <w:num w:numId="109" w16cid:durableId="1197234286">
    <w:abstractNumId w:val="88"/>
  </w:num>
  <w:num w:numId="110" w16cid:durableId="971406768">
    <w:abstractNumId w:val="72"/>
  </w:num>
  <w:num w:numId="111" w16cid:durableId="848639000">
    <w:abstractNumId w:val="76"/>
  </w:num>
  <w:num w:numId="112" w16cid:durableId="2023432745">
    <w:abstractNumId w:val="152"/>
  </w:num>
  <w:num w:numId="113" w16cid:durableId="1549145630">
    <w:abstractNumId w:val="66"/>
  </w:num>
  <w:num w:numId="114" w16cid:durableId="1519928967">
    <w:abstractNumId w:val="151"/>
  </w:num>
  <w:num w:numId="115" w16cid:durableId="1220167624">
    <w:abstractNumId w:val="0"/>
  </w:num>
  <w:num w:numId="116" w16cid:durableId="896739940">
    <w:abstractNumId w:val="138"/>
  </w:num>
  <w:num w:numId="117" w16cid:durableId="712078273">
    <w:abstractNumId w:val="2"/>
  </w:num>
  <w:num w:numId="118" w16cid:durableId="1200626993">
    <w:abstractNumId w:val="3"/>
  </w:num>
  <w:num w:numId="119" w16cid:durableId="197817320">
    <w:abstractNumId w:val="128"/>
  </w:num>
  <w:num w:numId="120" w16cid:durableId="276260427">
    <w:abstractNumId w:val="39"/>
  </w:num>
  <w:num w:numId="121" w16cid:durableId="443430728">
    <w:abstractNumId w:val="24"/>
  </w:num>
  <w:num w:numId="122" w16cid:durableId="475491948">
    <w:abstractNumId w:val="143"/>
  </w:num>
  <w:num w:numId="123" w16cid:durableId="2114746357">
    <w:abstractNumId w:val="59"/>
  </w:num>
  <w:num w:numId="124" w16cid:durableId="1702434118">
    <w:abstractNumId w:val="106"/>
  </w:num>
  <w:num w:numId="125" w16cid:durableId="1262956726">
    <w:abstractNumId w:val="32"/>
  </w:num>
  <w:num w:numId="126" w16cid:durableId="1723401209">
    <w:abstractNumId w:val="43"/>
  </w:num>
  <w:num w:numId="127" w16cid:durableId="1330672065">
    <w:abstractNumId w:val="13"/>
  </w:num>
  <w:num w:numId="128" w16cid:durableId="1377506390">
    <w:abstractNumId w:val="105"/>
  </w:num>
  <w:num w:numId="129" w16cid:durableId="1948002583">
    <w:abstractNumId w:val="108"/>
  </w:num>
  <w:num w:numId="130" w16cid:durableId="1562672579">
    <w:abstractNumId w:val="20"/>
  </w:num>
  <w:num w:numId="131" w16cid:durableId="469204923">
    <w:abstractNumId w:val="134"/>
  </w:num>
  <w:num w:numId="132" w16cid:durableId="1407068250">
    <w:abstractNumId w:val="94"/>
  </w:num>
  <w:num w:numId="133" w16cid:durableId="1803882366">
    <w:abstractNumId w:val="57"/>
  </w:num>
  <w:num w:numId="134" w16cid:durableId="1916431303">
    <w:abstractNumId w:val="31"/>
  </w:num>
  <w:num w:numId="135" w16cid:durableId="1450516805">
    <w:abstractNumId w:val="70"/>
  </w:num>
  <w:num w:numId="136" w16cid:durableId="181090504">
    <w:abstractNumId w:val="37"/>
  </w:num>
  <w:num w:numId="137" w16cid:durableId="531654221">
    <w:abstractNumId w:val="53"/>
  </w:num>
  <w:num w:numId="138" w16cid:durableId="125900516">
    <w:abstractNumId w:val="75"/>
  </w:num>
  <w:num w:numId="139" w16cid:durableId="2070230659">
    <w:abstractNumId w:val="6"/>
  </w:num>
  <w:num w:numId="140" w16cid:durableId="1563714590">
    <w:abstractNumId w:val="155"/>
  </w:num>
  <w:num w:numId="141" w16cid:durableId="1292591446">
    <w:abstractNumId w:val="86"/>
  </w:num>
  <w:num w:numId="142" w16cid:durableId="1266885759">
    <w:abstractNumId w:val="121"/>
  </w:num>
  <w:num w:numId="143" w16cid:durableId="1292594066">
    <w:abstractNumId w:val="30"/>
  </w:num>
  <w:num w:numId="144" w16cid:durableId="1735271591">
    <w:abstractNumId w:val="162"/>
  </w:num>
  <w:num w:numId="145" w16cid:durableId="328556985">
    <w:abstractNumId w:val="104"/>
  </w:num>
  <w:num w:numId="146" w16cid:durableId="2029332976">
    <w:abstractNumId w:val="69"/>
  </w:num>
  <w:num w:numId="147" w16cid:durableId="1196650992">
    <w:abstractNumId w:val="124"/>
  </w:num>
  <w:num w:numId="148" w16cid:durableId="906764976">
    <w:abstractNumId w:val="149"/>
  </w:num>
  <w:num w:numId="149" w16cid:durableId="1357343940">
    <w:abstractNumId w:val="49"/>
  </w:num>
  <w:num w:numId="150" w16cid:durableId="2085715955">
    <w:abstractNumId w:val="140"/>
  </w:num>
  <w:num w:numId="151" w16cid:durableId="913315467">
    <w:abstractNumId w:val="96"/>
  </w:num>
  <w:num w:numId="152" w16cid:durableId="1534925464">
    <w:abstractNumId w:val="122"/>
  </w:num>
  <w:num w:numId="153" w16cid:durableId="1200706561">
    <w:abstractNumId w:val="84"/>
  </w:num>
  <w:num w:numId="154" w16cid:durableId="460225683">
    <w:abstractNumId w:val="127"/>
  </w:num>
  <w:num w:numId="155" w16cid:durableId="1678725628">
    <w:abstractNumId w:val="74"/>
  </w:num>
  <w:num w:numId="156" w16cid:durableId="321740406">
    <w:abstractNumId w:val="12"/>
  </w:num>
  <w:num w:numId="157" w16cid:durableId="766538010">
    <w:abstractNumId w:val="97"/>
  </w:num>
  <w:num w:numId="158" w16cid:durableId="1191069993">
    <w:abstractNumId w:val="80"/>
  </w:num>
  <w:num w:numId="159" w16cid:durableId="1055203654">
    <w:abstractNumId w:val="77"/>
  </w:num>
  <w:num w:numId="160" w16cid:durableId="1317567238">
    <w:abstractNumId w:val="158"/>
  </w:num>
  <w:num w:numId="161" w16cid:durableId="650408434">
    <w:abstractNumId w:val="130"/>
  </w:num>
  <w:num w:numId="162" w16cid:durableId="1290865657">
    <w:abstractNumId w:val="51"/>
  </w:num>
  <w:num w:numId="163" w16cid:durableId="148454742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D5"/>
    <w:rsid w:val="00010A2F"/>
    <w:rsid w:val="00014A74"/>
    <w:rsid w:val="00022E1E"/>
    <w:rsid w:val="00046C72"/>
    <w:rsid w:val="000504D8"/>
    <w:rsid w:val="00053A4F"/>
    <w:rsid w:val="000556B3"/>
    <w:rsid w:val="0006334D"/>
    <w:rsid w:val="00070377"/>
    <w:rsid w:val="000805CC"/>
    <w:rsid w:val="00094711"/>
    <w:rsid w:val="000B1EB3"/>
    <w:rsid w:val="000E5B55"/>
    <w:rsid w:val="000F0068"/>
    <w:rsid w:val="00116287"/>
    <w:rsid w:val="00124313"/>
    <w:rsid w:val="00134068"/>
    <w:rsid w:val="00161E35"/>
    <w:rsid w:val="001762AF"/>
    <w:rsid w:val="001E6523"/>
    <w:rsid w:val="00206F99"/>
    <w:rsid w:val="00213E81"/>
    <w:rsid w:val="0023403F"/>
    <w:rsid w:val="00266841"/>
    <w:rsid w:val="002C1452"/>
    <w:rsid w:val="002C4196"/>
    <w:rsid w:val="002D413E"/>
    <w:rsid w:val="0032335A"/>
    <w:rsid w:val="00323C73"/>
    <w:rsid w:val="0033781A"/>
    <w:rsid w:val="00341F9A"/>
    <w:rsid w:val="003436AC"/>
    <w:rsid w:val="0034666C"/>
    <w:rsid w:val="00367884"/>
    <w:rsid w:val="00397BFF"/>
    <w:rsid w:val="003B47A9"/>
    <w:rsid w:val="003C1435"/>
    <w:rsid w:val="003C6179"/>
    <w:rsid w:val="00417ACB"/>
    <w:rsid w:val="00441B0C"/>
    <w:rsid w:val="0044423C"/>
    <w:rsid w:val="0045101D"/>
    <w:rsid w:val="00456E2A"/>
    <w:rsid w:val="004824A4"/>
    <w:rsid w:val="004902C7"/>
    <w:rsid w:val="00494539"/>
    <w:rsid w:val="004D645A"/>
    <w:rsid w:val="004F5D2D"/>
    <w:rsid w:val="005B222F"/>
    <w:rsid w:val="005C0FB2"/>
    <w:rsid w:val="005F6D59"/>
    <w:rsid w:val="0067519B"/>
    <w:rsid w:val="00682273"/>
    <w:rsid w:val="00693B9A"/>
    <w:rsid w:val="006954B6"/>
    <w:rsid w:val="006F02ED"/>
    <w:rsid w:val="006F555D"/>
    <w:rsid w:val="006F56F6"/>
    <w:rsid w:val="00716DF4"/>
    <w:rsid w:val="007202C1"/>
    <w:rsid w:val="007664A9"/>
    <w:rsid w:val="007A2ECA"/>
    <w:rsid w:val="007B0064"/>
    <w:rsid w:val="00815009"/>
    <w:rsid w:val="008242CB"/>
    <w:rsid w:val="00832D69"/>
    <w:rsid w:val="00882D2B"/>
    <w:rsid w:val="00886911"/>
    <w:rsid w:val="00886EC2"/>
    <w:rsid w:val="00892EE5"/>
    <w:rsid w:val="008D39AF"/>
    <w:rsid w:val="008D4A59"/>
    <w:rsid w:val="008F4AE5"/>
    <w:rsid w:val="00937D05"/>
    <w:rsid w:val="00940BA3"/>
    <w:rsid w:val="00942259"/>
    <w:rsid w:val="0095259C"/>
    <w:rsid w:val="00984858"/>
    <w:rsid w:val="00994A71"/>
    <w:rsid w:val="009B65ED"/>
    <w:rsid w:val="009C1AF3"/>
    <w:rsid w:val="009C25AE"/>
    <w:rsid w:val="009E7C78"/>
    <w:rsid w:val="00A244CA"/>
    <w:rsid w:val="00A31A60"/>
    <w:rsid w:val="00A46DF7"/>
    <w:rsid w:val="00A6335F"/>
    <w:rsid w:val="00A658DE"/>
    <w:rsid w:val="00AA00FA"/>
    <w:rsid w:val="00AA3C1E"/>
    <w:rsid w:val="00AA6369"/>
    <w:rsid w:val="00AB1535"/>
    <w:rsid w:val="00AD3FD5"/>
    <w:rsid w:val="00B03623"/>
    <w:rsid w:val="00B4018D"/>
    <w:rsid w:val="00B606F5"/>
    <w:rsid w:val="00B65A44"/>
    <w:rsid w:val="00BA60FA"/>
    <w:rsid w:val="00BC4169"/>
    <w:rsid w:val="00BC5F37"/>
    <w:rsid w:val="00BE4011"/>
    <w:rsid w:val="00C1027F"/>
    <w:rsid w:val="00C337B8"/>
    <w:rsid w:val="00C546FD"/>
    <w:rsid w:val="00C77BEA"/>
    <w:rsid w:val="00C8571B"/>
    <w:rsid w:val="00CA38CD"/>
    <w:rsid w:val="00CB0AF6"/>
    <w:rsid w:val="00CB2E8B"/>
    <w:rsid w:val="00CC0BB8"/>
    <w:rsid w:val="00CD02DF"/>
    <w:rsid w:val="00CE4351"/>
    <w:rsid w:val="00CF4823"/>
    <w:rsid w:val="00D14AD5"/>
    <w:rsid w:val="00D31A6B"/>
    <w:rsid w:val="00D438CB"/>
    <w:rsid w:val="00D47647"/>
    <w:rsid w:val="00D63D51"/>
    <w:rsid w:val="00D83543"/>
    <w:rsid w:val="00D86F28"/>
    <w:rsid w:val="00D92FBD"/>
    <w:rsid w:val="00DB515F"/>
    <w:rsid w:val="00DC303E"/>
    <w:rsid w:val="00DF0F62"/>
    <w:rsid w:val="00E026FD"/>
    <w:rsid w:val="00E109C2"/>
    <w:rsid w:val="00E15572"/>
    <w:rsid w:val="00E849E1"/>
    <w:rsid w:val="00EA4C1E"/>
    <w:rsid w:val="00EA52CE"/>
    <w:rsid w:val="00EA7CC7"/>
    <w:rsid w:val="00EB256F"/>
    <w:rsid w:val="00EB3F6B"/>
    <w:rsid w:val="00EC6840"/>
    <w:rsid w:val="00ED0878"/>
    <w:rsid w:val="00EE5888"/>
    <w:rsid w:val="00F15FEF"/>
    <w:rsid w:val="00F55B89"/>
    <w:rsid w:val="00F75340"/>
    <w:rsid w:val="00F76408"/>
    <w:rsid w:val="00F83CA1"/>
    <w:rsid w:val="00F83DA4"/>
    <w:rsid w:val="00FB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96E21"/>
  <w15:chartTrackingRefBased/>
  <w15:docId w15:val="{D7A9ACA8-7BC3-45AD-959B-C9D71D66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DE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4AD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AD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14AD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14AD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14AD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D14AD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14A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14AD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14A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14AD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14A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14A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AD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14A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14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14A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1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14AD5"/>
    <w:rPr>
      <w:i/>
      <w:iCs/>
      <w:color w:val="404040" w:themeColor="text1" w:themeTint="BF"/>
    </w:rPr>
  </w:style>
  <w:style w:type="paragraph" w:styleId="a9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a"/>
    <w:uiPriority w:val="34"/>
    <w:qFormat/>
    <w:rsid w:val="00D14AD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14AD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14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D14AD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14AD5"/>
    <w:rPr>
      <w:b/>
      <w:bCs/>
      <w:smallCaps/>
      <w:color w:val="0F4761" w:themeColor="accent1" w:themeShade="BF"/>
      <w:spacing w:val="5"/>
    </w:rPr>
  </w:style>
  <w:style w:type="paragraph" w:styleId="af">
    <w:name w:val="No Spacing"/>
    <w:link w:val="af0"/>
    <w:uiPriority w:val="1"/>
    <w:qFormat/>
    <w:rsid w:val="00D14AD5"/>
    <w:pPr>
      <w:spacing w:after="0"/>
    </w:pPr>
    <w:rPr>
      <w:rFonts w:eastAsiaTheme="minorEastAsia"/>
      <w:kern w:val="0"/>
      <w:sz w:val="22"/>
      <w:szCs w:val="22"/>
      <w:lang w:bidi="ar-SA"/>
      <w14:ligatures w14:val="none"/>
    </w:rPr>
  </w:style>
  <w:style w:type="character" w:customStyle="1" w:styleId="af0">
    <w:name w:val="ไม่มีการเว้นระยะห่าง อักขระ"/>
    <w:basedOn w:val="a0"/>
    <w:link w:val="af"/>
    <w:uiPriority w:val="1"/>
    <w:rsid w:val="00D14AD5"/>
    <w:rPr>
      <w:rFonts w:eastAsiaTheme="minorEastAsia"/>
      <w:kern w:val="0"/>
      <w:sz w:val="22"/>
      <w:szCs w:val="22"/>
      <w:lang w:bidi="ar-SA"/>
      <w14:ligatures w14:val="none"/>
    </w:rPr>
  </w:style>
  <w:style w:type="paragraph" w:styleId="af1">
    <w:name w:val="header"/>
    <w:basedOn w:val="a"/>
    <w:link w:val="af2"/>
    <w:uiPriority w:val="99"/>
    <w:unhideWhenUsed/>
    <w:rsid w:val="00D14AD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2">
    <w:name w:val="หัวกระดาษ อักขระ"/>
    <w:basedOn w:val="a0"/>
    <w:link w:val="af1"/>
    <w:uiPriority w:val="99"/>
    <w:rsid w:val="00D14AD5"/>
    <w:rPr>
      <w:rFonts w:cs="Angsana New"/>
      <w:kern w:val="0"/>
      <w:sz w:val="22"/>
      <w:szCs w:val="28"/>
      <w14:ligatures w14:val="none"/>
    </w:rPr>
  </w:style>
  <w:style w:type="paragraph" w:styleId="af3">
    <w:name w:val="footer"/>
    <w:basedOn w:val="a"/>
    <w:link w:val="af4"/>
    <w:uiPriority w:val="99"/>
    <w:unhideWhenUsed/>
    <w:rsid w:val="00D14AD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4">
    <w:name w:val="ท้ายกระดาษ อักขระ"/>
    <w:basedOn w:val="a0"/>
    <w:link w:val="af3"/>
    <w:uiPriority w:val="99"/>
    <w:rsid w:val="00D14AD5"/>
    <w:rPr>
      <w:rFonts w:cs="Angsana New"/>
      <w:kern w:val="0"/>
      <w:sz w:val="22"/>
      <w:szCs w:val="28"/>
      <w14:ligatures w14:val="none"/>
    </w:rPr>
  </w:style>
  <w:style w:type="table" w:styleId="af5">
    <w:name w:val="Table Grid"/>
    <w:basedOn w:val="a1"/>
    <w:uiPriority w:val="39"/>
    <w:rsid w:val="00D14AD5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แบบบาง1"/>
    <w:basedOn w:val="a1"/>
    <w:uiPriority w:val="40"/>
    <w:rsid w:val="00D14AD5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D14AD5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paragraph" w:styleId="af6">
    <w:name w:val="Normal (Web)"/>
    <w:basedOn w:val="a"/>
    <w:uiPriority w:val="99"/>
    <w:unhideWhenUsed/>
    <w:rsid w:val="00D1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a0"/>
    <w:rsid w:val="00D14AD5"/>
  </w:style>
  <w:style w:type="paragraph" w:customStyle="1" w:styleId="Default">
    <w:name w:val="Default"/>
    <w:rsid w:val="00D14AD5"/>
    <w:pPr>
      <w:autoSpaceDE w:val="0"/>
      <w:autoSpaceDN w:val="0"/>
      <w:adjustRightInd w:val="0"/>
      <w:spacing w:after="0"/>
    </w:pPr>
    <w:rPr>
      <w:rFonts w:ascii="TH SarabunPSK" w:hAnsi="TH SarabunPSK" w:cs="TH SarabunPSK"/>
      <w:color w:val="000000"/>
      <w:kern w:val="0"/>
      <w:szCs w:val="24"/>
      <w14:ligatures w14:val="none"/>
    </w:rPr>
  </w:style>
  <w:style w:type="character" w:styleId="af7">
    <w:name w:val="Strong"/>
    <w:basedOn w:val="a0"/>
    <w:uiPriority w:val="22"/>
    <w:qFormat/>
    <w:rsid w:val="00D14AD5"/>
    <w:rPr>
      <w:b/>
      <w:bCs/>
    </w:rPr>
  </w:style>
  <w:style w:type="character" w:customStyle="1" w:styleId="relative">
    <w:name w:val="relative"/>
    <w:basedOn w:val="a0"/>
    <w:rsid w:val="00D14AD5"/>
  </w:style>
  <w:style w:type="paragraph" w:styleId="af8">
    <w:name w:val="Balloon Text"/>
    <w:basedOn w:val="a"/>
    <w:link w:val="af9"/>
    <w:uiPriority w:val="99"/>
    <w:semiHidden/>
    <w:unhideWhenUsed/>
    <w:rsid w:val="00D14A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9">
    <w:name w:val="ข้อความบอลลูน อักขระ"/>
    <w:basedOn w:val="a0"/>
    <w:link w:val="af8"/>
    <w:uiPriority w:val="99"/>
    <w:semiHidden/>
    <w:rsid w:val="00D14AD5"/>
    <w:rPr>
      <w:rFonts w:ascii="Tahoma" w:hAnsi="Tahoma" w:cs="Angsana New"/>
      <w:kern w:val="0"/>
      <w:sz w:val="16"/>
      <w:szCs w:val="20"/>
      <w14:ligatures w14:val="none"/>
    </w:rPr>
  </w:style>
  <w:style w:type="character" w:customStyle="1" w:styleId="aa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9"/>
    <w:uiPriority w:val="34"/>
    <w:rsid w:val="00D14AD5"/>
  </w:style>
  <w:style w:type="character" w:styleId="afa">
    <w:name w:val="Hyperlink"/>
    <w:basedOn w:val="a0"/>
    <w:uiPriority w:val="99"/>
    <w:unhideWhenUsed/>
    <w:rsid w:val="00D14AD5"/>
    <w:rPr>
      <w:color w:val="467886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14AD5"/>
    <w:rPr>
      <w:color w:val="605E5C"/>
      <w:shd w:val="clear" w:color="auto" w:fill="E1DFDD"/>
    </w:rPr>
  </w:style>
  <w:style w:type="character" w:styleId="afc">
    <w:name w:val="Emphasis"/>
    <w:basedOn w:val="a0"/>
    <w:uiPriority w:val="20"/>
    <w:qFormat/>
    <w:rsid w:val="00D14AD5"/>
    <w:rPr>
      <w:i/>
      <w:iCs/>
    </w:rPr>
  </w:style>
  <w:style w:type="paragraph" w:customStyle="1" w:styleId="THPSK">
    <w:name w:val="TH PSK"/>
    <w:basedOn w:val="a"/>
    <w:link w:val="THPSK0"/>
    <w:qFormat/>
    <w:rsid w:val="00D14AD5"/>
    <w:pPr>
      <w:spacing w:after="0" w:line="240" w:lineRule="auto"/>
      <w:jc w:val="center"/>
    </w:pPr>
    <w:rPr>
      <w:rFonts w:ascii="TH SarabunPSK" w:hAnsi="TH SarabunPSK" w:cs="TH SarabunPSK"/>
      <w:color w:val="000000" w:themeColor="text1"/>
      <w:sz w:val="28"/>
      <w:szCs w:val="32"/>
    </w:rPr>
  </w:style>
  <w:style w:type="character" w:customStyle="1" w:styleId="THPSK0">
    <w:name w:val="TH PSK อักขระ"/>
    <w:basedOn w:val="a0"/>
    <w:link w:val="THPSK"/>
    <w:rsid w:val="00D14AD5"/>
    <w:rPr>
      <w:rFonts w:ascii="TH SarabunPSK" w:hAnsi="TH SarabunPSK" w:cs="TH SarabunPSK"/>
      <w:color w:val="000000" w:themeColor="text1"/>
      <w:kern w:val="0"/>
      <w:sz w:val="28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2571</Words>
  <Characters>12033</Characters>
  <Application>Microsoft Office Word</Application>
  <DocSecurity>0</DocSecurity>
  <Lines>481</Lines>
  <Paragraphs>331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วรรธนพร ชีววุฒิพงศ์</dc:creator>
  <cp:keywords/>
  <dc:description/>
  <cp:lastModifiedBy>วรรธนพร ชีววุฒิพงศ์</cp:lastModifiedBy>
  <cp:revision>12</cp:revision>
  <dcterms:created xsi:type="dcterms:W3CDTF">2026-01-08T05:14:00Z</dcterms:created>
  <dcterms:modified xsi:type="dcterms:W3CDTF">2026-01-08T06:50:00Z</dcterms:modified>
</cp:coreProperties>
</file>